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22394" w14:textId="77777777" w:rsidR="0067794F" w:rsidRDefault="00000000">
      <w:pPr>
        <w:pStyle w:val="Ttulo1"/>
        <w:spacing w:before="66"/>
        <w:ind w:right="325"/>
      </w:pPr>
      <w:r>
        <w:t>B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Solicitação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Esclarecimentos</w:t>
      </w:r>
    </w:p>
    <w:p w14:paraId="64EBAF51" w14:textId="77777777" w:rsidR="0067794F" w:rsidRDefault="0067794F">
      <w:pPr>
        <w:pStyle w:val="Corpodetexto"/>
        <w:rPr>
          <w:rFonts w:ascii="Arial"/>
          <w:b/>
        </w:rPr>
      </w:pPr>
    </w:p>
    <w:p w14:paraId="40B1AC5D" w14:textId="77777777" w:rsidR="0067794F" w:rsidRDefault="0067794F">
      <w:pPr>
        <w:pStyle w:val="Corpodetexto"/>
        <w:rPr>
          <w:rFonts w:ascii="Arial"/>
          <w:b/>
        </w:rPr>
      </w:pPr>
    </w:p>
    <w:p w14:paraId="7B2E41E0" w14:textId="77777777" w:rsidR="0067794F" w:rsidRDefault="0067794F">
      <w:pPr>
        <w:pStyle w:val="Corpodetexto"/>
        <w:spacing w:before="132"/>
        <w:rPr>
          <w:rFonts w:ascii="Arial"/>
          <w:b/>
        </w:rPr>
      </w:pPr>
    </w:p>
    <w:p w14:paraId="38A22344" w14:textId="77777777" w:rsidR="0067794F" w:rsidRDefault="00000000">
      <w:pPr>
        <w:pStyle w:val="Corpodetexto"/>
        <w:ind w:left="122"/>
      </w:pPr>
      <w:r>
        <w:rPr>
          <w:spacing w:val="-5"/>
        </w:rPr>
        <w:t>Ao</w:t>
      </w:r>
    </w:p>
    <w:p w14:paraId="3F2FA8F7" w14:textId="77777777" w:rsidR="0067794F" w:rsidRDefault="00000000">
      <w:pPr>
        <w:pStyle w:val="Corpodetexto"/>
        <w:spacing w:before="135"/>
        <w:ind w:left="139"/>
      </w:pPr>
      <w:r>
        <w:t>Presidente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Comissão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Contratação</w:t>
      </w:r>
    </w:p>
    <w:p w14:paraId="2271ED97" w14:textId="77777777" w:rsidR="0067794F" w:rsidRDefault="00000000">
      <w:pPr>
        <w:pStyle w:val="Corpodetexto"/>
        <w:spacing w:before="134"/>
        <w:ind w:left="139"/>
      </w:pPr>
      <w:r>
        <w:t>Ref.:</w:t>
      </w:r>
      <w:r>
        <w:rPr>
          <w:spacing w:val="-6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Concorrência</w:t>
      </w:r>
      <w:r>
        <w:rPr>
          <w:spacing w:val="-3"/>
        </w:rPr>
        <w:t xml:space="preserve"> </w:t>
      </w:r>
      <w:r>
        <w:t>Presencial</w:t>
      </w:r>
      <w:r>
        <w:rPr>
          <w:spacing w:val="-5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003/2026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Município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ANDRADAS/MG.</w:t>
      </w:r>
    </w:p>
    <w:p w14:paraId="07B475E0" w14:textId="77777777" w:rsidR="0067794F" w:rsidRDefault="0067794F">
      <w:pPr>
        <w:pStyle w:val="Corpodetexto"/>
      </w:pPr>
    </w:p>
    <w:p w14:paraId="311AD8CF" w14:textId="77777777" w:rsidR="0067794F" w:rsidRDefault="0067794F">
      <w:pPr>
        <w:pStyle w:val="Corpodetexto"/>
        <w:spacing w:before="106"/>
      </w:pPr>
    </w:p>
    <w:p w14:paraId="6DFC4D25" w14:textId="77777777" w:rsidR="0067794F" w:rsidRDefault="00000000">
      <w:pPr>
        <w:pStyle w:val="Corpodetexto"/>
        <w:ind w:left="139"/>
      </w:pPr>
      <w:r>
        <w:t>Prezado</w:t>
      </w:r>
      <w:r>
        <w:rPr>
          <w:spacing w:val="-5"/>
        </w:rPr>
        <w:t xml:space="preserve"> </w:t>
      </w:r>
      <w:r>
        <w:rPr>
          <w:spacing w:val="-2"/>
        </w:rPr>
        <w:t>Senhor,</w:t>
      </w:r>
    </w:p>
    <w:p w14:paraId="03287D61" w14:textId="77777777" w:rsidR="0067794F" w:rsidRDefault="0067794F">
      <w:pPr>
        <w:pStyle w:val="Corpodetexto"/>
      </w:pPr>
    </w:p>
    <w:p w14:paraId="435EAC4F" w14:textId="77777777" w:rsidR="0067794F" w:rsidRDefault="0067794F">
      <w:pPr>
        <w:pStyle w:val="Corpodetexto"/>
        <w:spacing w:before="63"/>
      </w:pPr>
    </w:p>
    <w:p w14:paraId="220523C7" w14:textId="77777777" w:rsidR="0067794F" w:rsidRDefault="00000000">
      <w:pPr>
        <w:pStyle w:val="Corpodetexto"/>
        <w:spacing w:line="343" w:lineRule="auto"/>
        <w:ind w:left="127" w:right="354" w:firstLine="7"/>
        <w:jc w:val="both"/>
      </w:pPr>
      <w:r>
        <w:rPr>
          <w:rFonts w:ascii="Arial" w:hAnsi="Arial"/>
          <w:b/>
          <w:spacing w:val="-2"/>
        </w:rPr>
        <w:t>CIMCOP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</w:rPr>
        <w:t>SA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2"/>
        </w:rPr>
        <w:t>ENGENHARIA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2"/>
        </w:rPr>
        <w:t>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</w:rPr>
        <w:t>CONSTRUÇÕES</w:t>
      </w:r>
      <w:r>
        <w:rPr>
          <w:spacing w:val="-2"/>
        </w:rPr>
        <w:t>,</w:t>
      </w:r>
      <w:r>
        <w:rPr>
          <w:spacing w:val="-5"/>
        </w:rPr>
        <w:t xml:space="preserve"> </w:t>
      </w:r>
      <w:r>
        <w:rPr>
          <w:spacing w:val="-2"/>
        </w:rPr>
        <w:t>pessoa</w:t>
      </w:r>
      <w:r>
        <w:rPr>
          <w:spacing w:val="-5"/>
        </w:rPr>
        <w:t xml:space="preserve"> </w:t>
      </w:r>
      <w:r>
        <w:rPr>
          <w:spacing w:val="-2"/>
        </w:rPr>
        <w:t>jurídica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direito</w:t>
      </w:r>
      <w:r>
        <w:rPr>
          <w:spacing w:val="-5"/>
        </w:rPr>
        <w:t xml:space="preserve"> </w:t>
      </w:r>
      <w:r>
        <w:rPr>
          <w:spacing w:val="-2"/>
        </w:rPr>
        <w:t>privado,</w:t>
      </w:r>
      <w:r>
        <w:rPr>
          <w:spacing w:val="-5"/>
        </w:rPr>
        <w:t xml:space="preserve"> </w:t>
      </w:r>
      <w:r>
        <w:rPr>
          <w:spacing w:val="-2"/>
        </w:rPr>
        <w:t xml:space="preserve">inscrita </w:t>
      </w:r>
      <w:r>
        <w:t>no CNPJ sob nº 17.161.464/0001-82, com sede em Rua Walfrido Mendes 400, CEP 30.855- 07, encaminha, nesta oportunidade, a seguinte solicitação de esclarecimento a respeito do Edital de Licitação em referência:</w:t>
      </w:r>
    </w:p>
    <w:p w14:paraId="3A3A41F0" w14:textId="77777777" w:rsidR="0067794F" w:rsidRDefault="0067794F">
      <w:pPr>
        <w:pStyle w:val="Corpodetexto"/>
        <w:rPr>
          <w:sz w:val="20"/>
        </w:rPr>
      </w:pPr>
    </w:p>
    <w:p w14:paraId="68007A50" w14:textId="77777777" w:rsidR="0067794F" w:rsidRDefault="0067794F">
      <w:pPr>
        <w:pStyle w:val="Corpodetexto"/>
        <w:spacing w:before="32"/>
        <w:rPr>
          <w:sz w:val="20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605FCBCC" w14:textId="77777777">
        <w:trPr>
          <w:trHeight w:val="1250"/>
        </w:trPr>
        <w:tc>
          <w:tcPr>
            <w:tcW w:w="2258" w:type="dxa"/>
          </w:tcPr>
          <w:p w14:paraId="75613F01" w14:textId="77777777" w:rsidR="0067794F" w:rsidRDefault="00000000">
            <w:pPr>
              <w:pStyle w:val="TableParagraph"/>
              <w:spacing w:before="101" w:line="357" w:lineRule="auto"/>
              <w:ind w:left="234" w:firstLine="23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Número do </w:t>
            </w:r>
            <w:r>
              <w:rPr>
                <w:rFonts w:ascii="Arial" w:hAnsi="Arial"/>
                <w:b/>
                <w:spacing w:val="-2"/>
                <w:sz w:val="24"/>
              </w:rPr>
              <w:t>esclarecimento</w:t>
            </w:r>
          </w:p>
        </w:tc>
        <w:tc>
          <w:tcPr>
            <w:tcW w:w="2410" w:type="dxa"/>
          </w:tcPr>
          <w:p w14:paraId="2EBAF171" w14:textId="77777777" w:rsidR="0067794F" w:rsidRDefault="00000000">
            <w:pPr>
              <w:pStyle w:val="TableParagraph"/>
              <w:spacing w:before="101"/>
              <w:ind w:left="3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Item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Edital</w:t>
            </w:r>
          </w:p>
        </w:tc>
        <w:tc>
          <w:tcPr>
            <w:tcW w:w="4827" w:type="dxa"/>
          </w:tcPr>
          <w:p w14:paraId="54CD3B11" w14:textId="77777777" w:rsidR="0067794F" w:rsidRDefault="00000000">
            <w:pPr>
              <w:pStyle w:val="TableParagraph"/>
              <w:spacing w:before="101"/>
              <w:ind w:left="9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Esclarecimento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solicitado</w:t>
            </w:r>
          </w:p>
        </w:tc>
      </w:tr>
      <w:tr w:rsidR="0067794F" w14:paraId="6A00CD57" w14:textId="77777777">
        <w:trPr>
          <w:trHeight w:val="6009"/>
        </w:trPr>
        <w:tc>
          <w:tcPr>
            <w:tcW w:w="2258" w:type="dxa"/>
          </w:tcPr>
          <w:p w14:paraId="561A3C08" w14:textId="77777777" w:rsidR="0067794F" w:rsidRDefault="00000000">
            <w:pPr>
              <w:pStyle w:val="TableParagraph"/>
              <w:spacing w:before="100"/>
              <w:ind w:left="20" w:right="216"/>
              <w:jc w:val="center"/>
            </w:pPr>
            <w:r>
              <w:rPr>
                <w:spacing w:val="-5"/>
              </w:rPr>
              <w:t>01</w:t>
            </w:r>
          </w:p>
        </w:tc>
        <w:tc>
          <w:tcPr>
            <w:tcW w:w="2410" w:type="dxa"/>
          </w:tcPr>
          <w:p w14:paraId="477DE076" w14:textId="77777777" w:rsidR="0067794F" w:rsidRDefault="00000000">
            <w:pPr>
              <w:pStyle w:val="TableParagraph"/>
              <w:spacing w:before="100" w:line="343" w:lineRule="auto"/>
              <w:ind w:left="290" w:right="162" w:firstLine="62"/>
              <w:jc w:val="center"/>
            </w:pPr>
            <w:r>
              <w:t>Item 3 do Estudo de Engenharia – Área</w:t>
            </w:r>
            <w:r>
              <w:rPr>
                <w:spacing w:val="-16"/>
              </w:rPr>
              <w:t xml:space="preserve"> </w:t>
            </w:r>
            <w:r>
              <w:t>da</w:t>
            </w:r>
            <w:r>
              <w:rPr>
                <w:spacing w:val="-15"/>
              </w:rPr>
              <w:t xml:space="preserve"> </w:t>
            </w:r>
            <w:r>
              <w:t>Concessão</w:t>
            </w:r>
          </w:p>
        </w:tc>
        <w:tc>
          <w:tcPr>
            <w:tcW w:w="4827" w:type="dxa"/>
          </w:tcPr>
          <w:p w14:paraId="4318FBBD" w14:textId="77777777" w:rsidR="0067794F" w:rsidRDefault="00000000">
            <w:pPr>
              <w:pStyle w:val="TableParagraph"/>
              <w:spacing w:before="100" w:line="276" w:lineRule="auto"/>
              <w:ind w:right="73"/>
              <w:jc w:val="both"/>
            </w:pPr>
            <w:r>
              <w:t>Considerando que o item 3 do Estudo de Engenharia estabelece que a área da concessão compreende: (i) o perímetro urbano da sede municipal; (ii) os distritos de Campestrinho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Gramínea;</w:t>
            </w:r>
            <w:r>
              <w:rPr>
                <w:spacing w:val="-8"/>
              </w:rPr>
              <w:t xml:space="preserve"> </w:t>
            </w:r>
            <w:r>
              <w:t>(iii)</w:t>
            </w:r>
            <w:r>
              <w:rPr>
                <w:spacing w:val="-8"/>
              </w:rPr>
              <w:t xml:space="preserve"> </w:t>
            </w:r>
            <w:r>
              <w:t>os</w:t>
            </w:r>
            <w:r>
              <w:rPr>
                <w:spacing w:val="-9"/>
              </w:rPr>
              <w:t xml:space="preserve"> </w:t>
            </w:r>
            <w:r>
              <w:t>aglomerados do</w:t>
            </w:r>
            <w:r>
              <w:rPr>
                <w:spacing w:val="-5"/>
              </w:rPr>
              <w:t xml:space="preserve"> </w:t>
            </w:r>
            <w:r>
              <w:t>bairro</w:t>
            </w:r>
            <w:r>
              <w:rPr>
                <w:spacing w:val="-7"/>
              </w:rPr>
              <w:t xml:space="preserve"> </w:t>
            </w:r>
            <w:r>
              <w:t>Óleo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São</w:t>
            </w:r>
            <w:r>
              <w:rPr>
                <w:spacing w:val="-10"/>
              </w:rPr>
              <w:t xml:space="preserve"> </w:t>
            </w:r>
            <w:r>
              <w:t>José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8"/>
              </w:rPr>
              <w:t xml:space="preserve"> </w:t>
            </w:r>
            <w:r>
              <w:t>Cachoeira;</w:t>
            </w:r>
            <w:r>
              <w:rPr>
                <w:spacing w:val="-9"/>
              </w:rPr>
              <w:t xml:space="preserve"> </w:t>
            </w:r>
            <w:r>
              <w:t>(iv) os aglomerados rurais caracterizados pela existência de mais de 30 (trinta) unidades habitacionais</w:t>
            </w:r>
            <w:r>
              <w:rPr>
                <w:spacing w:val="13"/>
              </w:rPr>
              <w:t xml:space="preserve"> </w:t>
            </w:r>
            <w:r>
              <w:t>concentradas</w:t>
            </w:r>
            <w:r>
              <w:rPr>
                <w:spacing w:val="16"/>
              </w:rPr>
              <w:t xml:space="preserve"> </w:t>
            </w:r>
            <w:r>
              <w:t>em</w:t>
            </w:r>
            <w:r>
              <w:rPr>
                <w:spacing w:val="16"/>
              </w:rPr>
              <w:t xml:space="preserve"> </w:t>
            </w:r>
            <w:r>
              <w:t>um</w:t>
            </w:r>
            <w:r>
              <w:rPr>
                <w:spacing w:val="15"/>
              </w:rPr>
              <w:t xml:space="preserve"> </w:t>
            </w:r>
            <w:r>
              <w:t>raio</w:t>
            </w:r>
            <w:r>
              <w:rPr>
                <w:spacing w:val="13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até</w:t>
            </w:r>
          </w:p>
          <w:p w14:paraId="307E5894" w14:textId="77777777" w:rsidR="0067794F" w:rsidRDefault="00000000">
            <w:pPr>
              <w:pStyle w:val="TableParagraph"/>
              <w:spacing w:line="276" w:lineRule="auto"/>
              <w:ind w:right="76"/>
              <w:jc w:val="both"/>
            </w:pPr>
            <w:r>
              <w:t>100 (cem) metros; bem como que “integram também a área da concessão, independentemente de regularização pelo Município, as áreas caracterizadas por ocupações, vilas, condomínios e assentamentos situadas no âmbito territorial abrangido pela concessão”;</w:t>
            </w:r>
          </w:p>
          <w:p w14:paraId="7A18F436" w14:textId="77777777" w:rsidR="0067794F" w:rsidRDefault="0067794F">
            <w:pPr>
              <w:pStyle w:val="TableParagraph"/>
              <w:spacing w:before="27"/>
              <w:ind w:left="0"/>
            </w:pPr>
          </w:p>
          <w:p w14:paraId="2A5DC2A4" w14:textId="77777777" w:rsidR="0067794F" w:rsidRDefault="00000000">
            <w:pPr>
              <w:pStyle w:val="TableParagraph"/>
              <w:spacing w:line="276" w:lineRule="auto"/>
              <w:ind w:right="75"/>
              <w:jc w:val="both"/>
            </w:pPr>
            <w:r>
              <w:t>Considerando que a Figura 1 do Estudo de Engenharia (“Área de Abrangência da Concessão”)</w:t>
            </w:r>
            <w:r>
              <w:rPr>
                <w:spacing w:val="53"/>
                <w:w w:val="150"/>
              </w:rPr>
              <w:t xml:space="preserve">   </w:t>
            </w:r>
            <w:r>
              <w:t>delimita</w:t>
            </w:r>
            <w:r>
              <w:rPr>
                <w:spacing w:val="52"/>
                <w:w w:val="150"/>
              </w:rPr>
              <w:t xml:space="preserve">   </w:t>
            </w:r>
            <w:r>
              <w:t>área</w:t>
            </w:r>
            <w:r>
              <w:rPr>
                <w:spacing w:val="52"/>
                <w:w w:val="150"/>
              </w:rPr>
              <w:t xml:space="preserve">   </w:t>
            </w:r>
            <w:r>
              <w:rPr>
                <w:spacing w:val="-2"/>
              </w:rPr>
              <w:t>territorial</w:t>
            </w:r>
          </w:p>
        </w:tc>
      </w:tr>
    </w:tbl>
    <w:p w14:paraId="3BD2728D" w14:textId="77777777" w:rsidR="0067794F" w:rsidRDefault="0067794F">
      <w:pPr>
        <w:pStyle w:val="TableParagraph"/>
        <w:spacing w:line="276" w:lineRule="auto"/>
        <w:jc w:val="both"/>
        <w:sectPr w:rsidR="0067794F">
          <w:type w:val="continuous"/>
          <w:pgSz w:w="12240" w:h="15840"/>
          <w:pgMar w:top="1600" w:right="720" w:bottom="280" w:left="1440" w:header="720" w:footer="720" w:gutter="0"/>
          <w:cols w:space="720"/>
        </w:sectPr>
      </w:pPr>
    </w:p>
    <w:p w14:paraId="13814CF0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528DFA6C" w14:textId="77777777">
        <w:trPr>
          <w:trHeight w:val="11513"/>
        </w:trPr>
        <w:tc>
          <w:tcPr>
            <w:tcW w:w="2258" w:type="dxa"/>
          </w:tcPr>
          <w:p w14:paraId="62715220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306885A5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27" w:type="dxa"/>
          </w:tcPr>
          <w:p w14:paraId="34DBD39F" w14:textId="77777777" w:rsidR="0067794F" w:rsidRDefault="00000000">
            <w:pPr>
              <w:pStyle w:val="TableParagraph"/>
              <w:spacing w:before="101" w:line="276" w:lineRule="auto"/>
              <w:ind w:right="74"/>
              <w:jc w:val="both"/>
            </w:pPr>
            <w:r>
              <w:t>significativamente ampla, aparentemente superior</w:t>
            </w:r>
            <w:r>
              <w:rPr>
                <w:spacing w:val="-16"/>
              </w:rPr>
              <w:t xml:space="preserve"> </w:t>
            </w:r>
            <w:r>
              <w:t>aos</w:t>
            </w:r>
            <w:r>
              <w:rPr>
                <w:spacing w:val="-15"/>
              </w:rPr>
              <w:t xml:space="preserve"> </w:t>
            </w:r>
            <w:r>
              <w:t>perímetros</w:t>
            </w:r>
            <w:r>
              <w:rPr>
                <w:spacing w:val="-15"/>
              </w:rPr>
              <w:t xml:space="preserve"> </w:t>
            </w:r>
            <w:r>
              <w:t>urbanos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5"/>
              </w:rPr>
              <w:t xml:space="preserve"> </w:t>
            </w:r>
            <w:r>
              <w:t>aglomerados nominalmente identificados e contempla, conforme</w:t>
            </w:r>
            <w:r>
              <w:rPr>
                <w:spacing w:val="-1"/>
              </w:rPr>
              <w:t xml:space="preserve"> </w:t>
            </w:r>
            <w:r>
              <w:t>Tabela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2"/>
              </w:rPr>
              <w:t xml:space="preserve"> </w:t>
            </w:r>
            <w:r>
              <w:t>diversos</w:t>
            </w:r>
            <w:r>
              <w:rPr>
                <w:spacing w:val="-1"/>
              </w:rPr>
              <w:t xml:space="preserve"> </w:t>
            </w:r>
            <w:r>
              <w:t>empreendimentos rurais, condomínios verdes, parcelamentos irregulares e demais ocupações dispersas;</w:t>
            </w:r>
          </w:p>
          <w:p w14:paraId="70525BF1" w14:textId="77777777" w:rsidR="0067794F" w:rsidRDefault="0067794F">
            <w:pPr>
              <w:pStyle w:val="TableParagraph"/>
              <w:spacing w:before="26"/>
              <w:ind w:left="0"/>
            </w:pPr>
          </w:p>
          <w:p w14:paraId="229E1CF2" w14:textId="77777777" w:rsidR="0067794F" w:rsidRDefault="00000000">
            <w:pPr>
              <w:pStyle w:val="TableParagraph"/>
              <w:spacing w:before="1" w:line="276" w:lineRule="auto"/>
              <w:ind w:right="73"/>
              <w:jc w:val="both"/>
            </w:pPr>
            <w:r>
              <w:t xml:space="preserve">Considerando que a Lei Municipal nº 1.919/2019, alterada pela Lei Municipal nº 2.000/2021, estabelece critérios objetivos para inclusão de aglomerados rurais no escopo da concessão, notadamente a existência de mais de 30 (trinta) unidades habitacionais concentradas em um raio de até 100 (cem) metros; e que a definição do perímetro efetivo efetivo sujeito à obrigação de atendimento por rede pública impacta diretamente a estimativa de investimentos, custos operacionais, metas de expansão e adequada precificação das </w:t>
            </w:r>
            <w:r>
              <w:rPr>
                <w:spacing w:val="-2"/>
              </w:rPr>
              <w:t>propostas:</w:t>
            </w:r>
          </w:p>
          <w:p w14:paraId="26C93513" w14:textId="77777777" w:rsidR="0067794F" w:rsidRDefault="0067794F">
            <w:pPr>
              <w:pStyle w:val="TableParagraph"/>
              <w:spacing w:before="26"/>
              <w:ind w:left="0"/>
            </w:pPr>
          </w:p>
          <w:p w14:paraId="1005E67B" w14:textId="77777777" w:rsidR="0067794F" w:rsidRDefault="00000000">
            <w:pPr>
              <w:pStyle w:val="TableParagraph"/>
              <w:spacing w:line="276" w:lineRule="auto"/>
              <w:ind w:right="73"/>
              <w:jc w:val="both"/>
            </w:pPr>
            <w:r>
              <w:t>Entende-se</w:t>
            </w:r>
            <w:r>
              <w:rPr>
                <w:spacing w:val="-10"/>
              </w:rPr>
              <w:t xml:space="preserve"> </w:t>
            </w:r>
            <w:r>
              <w:t>que</w:t>
            </w:r>
            <w:r>
              <w:rPr>
                <w:spacing w:val="-10"/>
              </w:rPr>
              <w:t xml:space="preserve"> </w:t>
            </w:r>
            <w:r>
              <w:t>imóveis</w:t>
            </w:r>
            <w:r>
              <w:rPr>
                <w:spacing w:val="-14"/>
              </w:rPr>
              <w:t xml:space="preserve"> </w:t>
            </w:r>
            <w:r>
              <w:t>isolados,</w:t>
            </w:r>
            <w:r>
              <w:rPr>
                <w:spacing w:val="-9"/>
              </w:rPr>
              <w:t xml:space="preserve"> </w:t>
            </w:r>
            <w:r>
              <w:t xml:space="preserve">propriedades rurais dispersas e ocupações situadas dentro da área territorial indicada na Figura 1 do </w:t>
            </w:r>
            <w:r>
              <w:rPr>
                <w:spacing w:val="-2"/>
              </w:rPr>
              <w:t>Estudo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Engenharia,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mas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que: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(i)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estejam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fora </w:t>
            </w:r>
            <w:r>
              <w:t>dos</w:t>
            </w:r>
            <w:r>
              <w:rPr>
                <w:spacing w:val="-7"/>
              </w:rPr>
              <w:t xml:space="preserve"> </w:t>
            </w:r>
            <w:r>
              <w:t>perímetros</w:t>
            </w:r>
            <w:r>
              <w:rPr>
                <w:spacing w:val="-7"/>
              </w:rPr>
              <w:t xml:space="preserve"> </w:t>
            </w:r>
            <w:r>
              <w:t>urbanos</w:t>
            </w:r>
            <w:r>
              <w:rPr>
                <w:spacing w:val="-9"/>
              </w:rPr>
              <w:t xml:space="preserve"> </w:t>
            </w:r>
            <w:r>
              <w:t>da</w:t>
            </w:r>
            <w:r>
              <w:rPr>
                <w:spacing w:val="-7"/>
              </w:rPr>
              <w:t xml:space="preserve"> </w:t>
            </w:r>
            <w:r>
              <w:t>sede</w:t>
            </w:r>
            <w:r>
              <w:rPr>
                <w:spacing w:val="-7"/>
              </w:rPr>
              <w:t xml:space="preserve"> </w:t>
            </w:r>
            <w:r>
              <w:t>municipal,</w:t>
            </w:r>
            <w:r>
              <w:rPr>
                <w:spacing w:val="-6"/>
              </w:rPr>
              <w:t xml:space="preserve"> </w:t>
            </w:r>
            <w:r>
              <w:t>dos distritos e dos aglomerados expressamente identificados no item 3 do Estudo de Engenharia; e (ii) não atendam ao critério de mais de 30 (trinta) unidades habitacionais concentradas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8"/>
              </w:rPr>
              <w:t xml:space="preserve"> </w:t>
            </w:r>
            <w:r>
              <w:t>raio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até</w:t>
            </w:r>
            <w:r>
              <w:rPr>
                <w:spacing w:val="-6"/>
              </w:rPr>
              <w:t xml:space="preserve"> </w:t>
            </w:r>
            <w:r>
              <w:t>100</w:t>
            </w:r>
            <w:r>
              <w:rPr>
                <w:spacing w:val="-6"/>
              </w:rPr>
              <w:t xml:space="preserve"> </w:t>
            </w:r>
            <w:r>
              <w:t>(cem)</w:t>
            </w:r>
            <w:r>
              <w:rPr>
                <w:spacing w:val="-7"/>
              </w:rPr>
              <w:t xml:space="preserve"> </w:t>
            </w:r>
            <w:r>
              <w:t xml:space="preserve">metros, </w:t>
            </w:r>
            <w:r>
              <w:rPr>
                <w:rFonts w:ascii="Arial" w:hAnsi="Arial"/>
                <w:b/>
              </w:rPr>
              <w:t>não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t>integram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área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concessão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fins</w:t>
            </w:r>
            <w:r>
              <w:rPr>
                <w:spacing w:val="-6"/>
              </w:rPr>
              <w:t xml:space="preserve"> </w:t>
            </w:r>
            <w:r>
              <w:t>de obrigação de atendimento por rede pública coletiva, podendo ser atendidos, quando tecnicamente</w:t>
            </w:r>
            <w:r>
              <w:rPr>
                <w:spacing w:val="-2"/>
              </w:rPr>
              <w:t xml:space="preserve"> </w:t>
            </w:r>
            <w:r>
              <w:t>viável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nos</w:t>
            </w:r>
            <w:r>
              <w:rPr>
                <w:spacing w:val="-2"/>
              </w:rPr>
              <w:t xml:space="preserve"> </w:t>
            </w:r>
            <w:r>
              <w:t>termos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 xml:space="preserve">legislação aplicável, por soluções individuais ou </w:t>
            </w:r>
            <w:r>
              <w:rPr>
                <w:spacing w:val="-2"/>
              </w:rPr>
              <w:t>alternativas</w:t>
            </w:r>
          </w:p>
          <w:p w14:paraId="4D67C896" w14:textId="77777777" w:rsidR="0067794F" w:rsidRDefault="0067794F">
            <w:pPr>
              <w:pStyle w:val="TableParagraph"/>
              <w:spacing w:before="27"/>
              <w:ind w:left="0"/>
            </w:pPr>
          </w:p>
          <w:p w14:paraId="2186FC69" w14:textId="77777777" w:rsidR="0067794F" w:rsidRDefault="00000000">
            <w:pPr>
              <w:pStyle w:val="TableParagraph"/>
              <w:spacing w:before="1"/>
              <w:jc w:val="both"/>
            </w:pPr>
            <w:r>
              <w:t>Está</w:t>
            </w:r>
            <w:r>
              <w:rPr>
                <w:spacing w:val="-3"/>
              </w:rPr>
              <w:t xml:space="preserve"> </w:t>
            </w:r>
            <w:r>
              <w:t>correto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entendimento?</w:t>
            </w:r>
          </w:p>
        </w:tc>
      </w:tr>
      <w:tr w:rsidR="0067794F" w14:paraId="6E447CB3" w14:textId="77777777">
        <w:trPr>
          <w:trHeight w:val="1662"/>
        </w:trPr>
        <w:tc>
          <w:tcPr>
            <w:tcW w:w="2258" w:type="dxa"/>
          </w:tcPr>
          <w:p w14:paraId="2BCCD681" w14:textId="77777777" w:rsidR="0067794F" w:rsidRDefault="00000000">
            <w:pPr>
              <w:pStyle w:val="TableParagraph"/>
              <w:spacing w:before="101"/>
              <w:ind w:left="0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2410" w:type="dxa"/>
          </w:tcPr>
          <w:p w14:paraId="6C4DE176" w14:textId="77777777" w:rsidR="0067794F" w:rsidRDefault="00000000">
            <w:pPr>
              <w:pStyle w:val="TableParagraph"/>
              <w:spacing w:before="100" w:line="345" w:lineRule="auto"/>
              <w:ind w:left="288" w:right="166" w:firstLine="4"/>
              <w:jc w:val="center"/>
            </w:pPr>
            <w:r>
              <w:t>Cláusula 12.1 da Minuta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Contrato; Item 3 do Anexo IV</w:t>
            </w:r>
          </w:p>
          <w:p w14:paraId="02CF5A77" w14:textId="77777777" w:rsidR="0067794F" w:rsidRDefault="00000000">
            <w:pPr>
              <w:pStyle w:val="TableParagraph"/>
              <w:spacing w:line="250" w:lineRule="exact"/>
              <w:ind w:left="121"/>
              <w:jc w:val="center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Caderno</w:t>
            </w:r>
            <w:r>
              <w:rPr>
                <w:spacing w:val="-5"/>
              </w:rPr>
              <w:t xml:space="preserve"> de</w:t>
            </w:r>
          </w:p>
        </w:tc>
        <w:tc>
          <w:tcPr>
            <w:tcW w:w="4827" w:type="dxa"/>
          </w:tcPr>
          <w:p w14:paraId="67CE3E9A" w14:textId="77777777" w:rsidR="0067794F" w:rsidRDefault="00000000">
            <w:pPr>
              <w:pStyle w:val="TableParagraph"/>
              <w:spacing w:before="100" w:line="276" w:lineRule="auto"/>
              <w:ind w:right="75"/>
              <w:jc w:val="both"/>
            </w:pPr>
            <w:r>
              <w:t>Considerando que o item 3 do Caderno de Encargos estabelece que aglomerados rurais que</w:t>
            </w:r>
            <w:r>
              <w:rPr>
                <w:spacing w:val="-16"/>
              </w:rPr>
              <w:t xml:space="preserve"> </w:t>
            </w:r>
            <w:r>
              <w:t>atingirem,</w:t>
            </w:r>
            <w:r>
              <w:rPr>
                <w:spacing w:val="-15"/>
              </w:rPr>
              <w:t xml:space="preserve"> </w:t>
            </w:r>
            <w:r>
              <w:t>organicamente,</w:t>
            </w:r>
            <w:r>
              <w:rPr>
                <w:spacing w:val="-15"/>
              </w:rPr>
              <w:t xml:space="preserve"> </w:t>
            </w:r>
            <w:r>
              <w:t>o</w:t>
            </w:r>
            <w:r>
              <w:rPr>
                <w:spacing w:val="-16"/>
              </w:rPr>
              <w:t xml:space="preserve"> </w:t>
            </w:r>
            <w:r>
              <w:t>critério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mais de 30 (trinta) unidades habitacionais concentradas</w:t>
            </w:r>
            <w:r>
              <w:rPr>
                <w:spacing w:val="4"/>
              </w:rPr>
              <w:t xml:space="preserve"> </w:t>
            </w:r>
            <w:r>
              <w:t>em</w:t>
            </w:r>
            <w:r>
              <w:rPr>
                <w:spacing w:val="4"/>
              </w:rPr>
              <w:t xml:space="preserve"> </w:t>
            </w:r>
            <w:r>
              <w:t>raio</w:t>
            </w:r>
            <w:r>
              <w:rPr>
                <w:spacing w:val="3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até</w:t>
            </w:r>
            <w:r>
              <w:rPr>
                <w:spacing w:val="4"/>
              </w:rPr>
              <w:t xml:space="preserve"> </w:t>
            </w:r>
            <w:r>
              <w:t>100</w:t>
            </w:r>
            <w:r>
              <w:rPr>
                <w:spacing w:val="1"/>
              </w:rPr>
              <w:t xml:space="preserve"> </w:t>
            </w:r>
            <w:r>
              <w:t>(cem)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metros</w:t>
            </w:r>
          </w:p>
        </w:tc>
      </w:tr>
    </w:tbl>
    <w:p w14:paraId="5470DF4E" w14:textId="77777777" w:rsidR="0067794F" w:rsidRDefault="0067794F">
      <w:pPr>
        <w:pStyle w:val="TableParagraph"/>
        <w:spacing w:line="276" w:lineRule="auto"/>
        <w:jc w:val="both"/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09338BFB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08AD9431" w14:textId="77777777">
        <w:trPr>
          <w:trHeight w:val="13069"/>
        </w:trPr>
        <w:tc>
          <w:tcPr>
            <w:tcW w:w="2258" w:type="dxa"/>
          </w:tcPr>
          <w:p w14:paraId="198DCB17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6FB4FFF4" w14:textId="77777777" w:rsidR="0067794F" w:rsidRDefault="00000000">
            <w:pPr>
              <w:pStyle w:val="TableParagraph"/>
              <w:spacing w:before="101" w:line="343" w:lineRule="auto"/>
              <w:ind w:left="307" w:right="182"/>
              <w:jc w:val="center"/>
            </w:pPr>
            <w:r>
              <w:t>Encargos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item</w:t>
            </w:r>
            <w:r>
              <w:rPr>
                <w:spacing w:val="-11"/>
              </w:rPr>
              <w:t xml:space="preserve"> </w:t>
            </w:r>
            <w:r>
              <w:t>27 do Anexo IX - Matriz de Risco</w:t>
            </w:r>
          </w:p>
        </w:tc>
        <w:tc>
          <w:tcPr>
            <w:tcW w:w="4827" w:type="dxa"/>
          </w:tcPr>
          <w:p w14:paraId="0DCC223D" w14:textId="77777777" w:rsidR="0067794F" w:rsidRDefault="00000000">
            <w:pPr>
              <w:pStyle w:val="TableParagraph"/>
              <w:spacing w:before="101" w:line="276" w:lineRule="auto"/>
              <w:ind w:right="74"/>
              <w:jc w:val="both"/>
            </w:pPr>
            <w:r>
              <w:t>serão "automaticamente incluídos na área de concessão</w:t>
            </w:r>
            <w:r>
              <w:rPr>
                <w:spacing w:val="-16"/>
              </w:rPr>
              <w:t xml:space="preserve"> </w:t>
            </w:r>
            <w:r>
              <w:t>sem</w:t>
            </w:r>
            <w:r>
              <w:rPr>
                <w:spacing w:val="-15"/>
              </w:rPr>
              <w:t xml:space="preserve"> </w:t>
            </w:r>
            <w:r>
              <w:t>ensejar</w:t>
            </w:r>
            <w:r>
              <w:rPr>
                <w:spacing w:val="-15"/>
              </w:rPr>
              <w:t xml:space="preserve"> </w:t>
            </w:r>
            <w:r>
              <w:t>reequilíbrio</w:t>
            </w:r>
            <w:r>
              <w:rPr>
                <w:spacing w:val="-16"/>
              </w:rPr>
              <w:t xml:space="preserve"> </w:t>
            </w:r>
            <w:r>
              <w:t xml:space="preserve">econômico- </w:t>
            </w:r>
            <w:r>
              <w:rPr>
                <w:spacing w:val="-2"/>
              </w:rPr>
              <w:t>financeiro";</w:t>
            </w:r>
          </w:p>
          <w:p w14:paraId="6B4A3588" w14:textId="77777777" w:rsidR="0067794F" w:rsidRDefault="00000000">
            <w:pPr>
              <w:pStyle w:val="TableParagraph"/>
              <w:spacing w:before="99" w:line="276" w:lineRule="auto"/>
              <w:ind w:right="72"/>
              <w:jc w:val="both"/>
            </w:pPr>
            <w:r>
              <w:t>Considerando que, em todos os demais casos previstos</w:t>
            </w:r>
            <w:r>
              <w:rPr>
                <w:spacing w:val="-12"/>
              </w:rPr>
              <w:t xml:space="preserve"> </w:t>
            </w:r>
            <w:r>
              <w:t>no</w:t>
            </w:r>
            <w:r>
              <w:rPr>
                <w:spacing w:val="-15"/>
              </w:rPr>
              <w:t xml:space="preserve"> </w:t>
            </w:r>
            <w:r>
              <w:t>edital</w:t>
            </w:r>
            <w:r>
              <w:rPr>
                <w:spacing w:val="-13"/>
              </w:rPr>
              <w:t xml:space="preserve"> </w:t>
            </w:r>
            <w:r>
              <w:t>em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12"/>
              </w:rPr>
              <w:t xml:space="preserve"> </w:t>
            </w:r>
            <w:r>
              <w:t>há</w:t>
            </w:r>
            <w:r>
              <w:rPr>
                <w:spacing w:val="-13"/>
              </w:rPr>
              <w:t xml:space="preserve"> </w:t>
            </w:r>
            <w:r>
              <w:t>expansão</w:t>
            </w:r>
            <w:r>
              <w:rPr>
                <w:spacing w:val="-13"/>
              </w:rPr>
              <w:t xml:space="preserve"> </w:t>
            </w:r>
            <w:r>
              <w:t>da</w:t>
            </w:r>
            <w:r>
              <w:rPr>
                <w:spacing w:val="-13"/>
              </w:rPr>
              <w:t xml:space="preserve"> </w:t>
            </w:r>
            <w:r>
              <w:t>área atendida, a obrigação de implantar a infraestrutura necessária é expressamente atribuída a terceiros: (i) para loteamentos e empreendimentos, a Cláusula 12.1 da Minuta de Contrato e a Cláusula 22.2.21 atribuem ao loteador/empreendedor a construção e ao Concedente a cessão à Concessionária; (ii) para áreas não regulamentadas (vilas, condomínios e assentamentos), o item 3 do Caderno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Encargos</w:t>
            </w:r>
            <w:r>
              <w:rPr>
                <w:spacing w:val="-3"/>
              </w:rPr>
              <w:t xml:space="preserve"> </w:t>
            </w:r>
            <w:r>
              <w:t>atribui</w:t>
            </w:r>
            <w:r>
              <w:rPr>
                <w:spacing w:val="-2"/>
              </w:rPr>
              <w:t xml:space="preserve"> </w:t>
            </w:r>
            <w:r>
              <w:t>ao</w:t>
            </w:r>
            <w:r>
              <w:rPr>
                <w:spacing w:val="-1"/>
              </w:rPr>
              <w:t xml:space="preserve"> </w:t>
            </w:r>
            <w:r>
              <w:t>empreendedor a</w:t>
            </w:r>
            <w:r>
              <w:rPr>
                <w:spacing w:val="-12"/>
              </w:rPr>
              <w:t xml:space="preserve"> </w:t>
            </w:r>
            <w:r>
              <w:t>implantação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toda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infraestrutura,</w:t>
            </w:r>
            <w:r>
              <w:rPr>
                <w:spacing w:val="-13"/>
              </w:rPr>
              <w:t xml:space="preserve"> </w:t>
            </w:r>
            <w:r>
              <w:t>cabendo à Concessionária, nesses casos, apenas a operação e a fiscalização técnica;</w:t>
            </w:r>
          </w:p>
          <w:p w14:paraId="18F4852A" w14:textId="77777777" w:rsidR="0067794F" w:rsidRDefault="0067794F">
            <w:pPr>
              <w:pStyle w:val="TableParagraph"/>
              <w:spacing w:before="27"/>
              <w:ind w:left="0"/>
            </w:pPr>
          </w:p>
          <w:p w14:paraId="77A55F51" w14:textId="77777777" w:rsidR="0067794F" w:rsidRDefault="00000000">
            <w:pPr>
              <w:pStyle w:val="TableParagraph"/>
              <w:spacing w:before="1" w:line="276" w:lineRule="auto"/>
              <w:ind w:right="71"/>
              <w:jc w:val="both"/>
            </w:pPr>
            <w:r>
              <w:t>Considerando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14"/>
              </w:rPr>
              <w:t xml:space="preserve"> </w:t>
            </w:r>
            <w:r>
              <w:t>os</w:t>
            </w:r>
            <w:r>
              <w:rPr>
                <w:spacing w:val="-12"/>
              </w:rPr>
              <w:t xml:space="preserve"> </w:t>
            </w:r>
            <w:r>
              <w:t>documentos</w:t>
            </w:r>
            <w:r>
              <w:rPr>
                <w:spacing w:val="-12"/>
              </w:rPr>
              <w:t xml:space="preserve"> </w:t>
            </w:r>
            <w:r>
              <w:t>do</w:t>
            </w:r>
            <w:r>
              <w:rPr>
                <w:spacing w:val="-15"/>
              </w:rPr>
              <w:t xml:space="preserve"> </w:t>
            </w:r>
            <w:r>
              <w:t>edital</w:t>
            </w:r>
            <w:r>
              <w:rPr>
                <w:spacing w:val="-13"/>
              </w:rPr>
              <w:t xml:space="preserve"> </w:t>
            </w:r>
            <w:r>
              <w:t>não identificam, de forma expressa, quem é responsável pela implantação da infraestrutura primária necessária ao atendimento de aglomerados rurais que atingirem organicamente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critério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t>(trinta)</w:t>
            </w:r>
            <w:r>
              <w:rPr>
                <w:spacing w:val="-4"/>
              </w:rPr>
              <w:t xml:space="preserve"> </w:t>
            </w:r>
            <w:r>
              <w:t>unidades habitacionais</w:t>
            </w:r>
            <w:r>
              <w:rPr>
                <w:spacing w:val="-5"/>
              </w:rPr>
              <w:t xml:space="preserve"> </w:t>
            </w:r>
            <w:r>
              <w:t>durante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vigência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concessão, sem que exista loteador, empreendedor ou ato formal</w:t>
            </w:r>
            <w:r>
              <w:rPr>
                <w:spacing w:val="-12"/>
              </w:rPr>
              <w:t xml:space="preserve"> </w:t>
            </w:r>
            <w:r>
              <w:t>do</w:t>
            </w:r>
            <w:r>
              <w:rPr>
                <w:spacing w:val="-11"/>
              </w:rPr>
              <w:t xml:space="preserve"> </w:t>
            </w:r>
            <w:r>
              <w:t>Município</w:t>
            </w:r>
            <w:r>
              <w:rPr>
                <w:spacing w:val="-11"/>
              </w:rPr>
              <w:t xml:space="preserve"> </w:t>
            </w:r>
            <w:r>
              <w:t>ao</w:t>
            </w:r>
            <w:r>
              <w:rPr>
                <w:spacing w:val="-11"/>
              </w:rPr>
              <w:t xml:space="preserve"> </w:t>
            </w:r>
            <w:r>
              <w:t>qual</w:t>
            </w:r>
            <w:r>
              <w:rPr>
                <w:spacing w:val="-12"/>
              </w:rPr>
              <w:t xml:space="preserve"> </w:t>
            </w:r>
            <w:r>
              <w:t>tal</w:t>
            </w:r>
            <w:r>
              <w:rPr>
                <w:spacing w:val="-12"/>
              </w:rPr>
              <w:t xml:space="preserve"> </w:t>
            </w:r>
            <w:r>
              <w:t>obrigação</w:t>
            </w:r>
            <w:r>
              <w:rPr>
                <w:spacing w:val="-11"/>
              </w:rPr>
              <w:t xml:space="preserve"> </w:t>
            </w:r>
            <w:r>
              <w:t>possa ser imputada;</w:t>
            </w:r>
          </w:p>
          <w:p w14:paraId="1E469612" w14:textId="77777777" w:rsidR="0067794F" w:rsidRDefault="0067794F">
            <w:pPr>
              <w:pStyle w:val="TableParagraph"/>
              <w:spacing w:before="27"/>
              <w:ind w:left="0"/>
            </w:pPr>
          </w:p>
          <w:p w14:paraId="14F7FCE5" w14:textId="77777777" w:rsidR="0067794F" w:rsidRDefault="00000000">
            <w:pPr>
              <w:pStyle w:val="TableParagraph"/>
              <w:spacing w:line="276" w:lineRule="auto"/>
              <w:ind w:right="73"/>
              <w:jc w:val="both"/>
            </w:pPr>
            <w:r>
              <w:t>Entende-se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expressão</w:t>
            </w:r>
            <w:r>
              <w:rPr>
                <w:spacing w:val="-13"/>
              </w:rPr>
              <w:t xml:space="preserve"> </w:t>
            </w:r>
            <w:r>
              <w:t>"automaticamente incluídos na área de concessão sem ensejar reequilíbrio econômico-financeiro" alcança a obrigação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Concessionária</w:t>
            </w:r>
            <w:r>
              <w:rPr>
                <w:spacing w:val="-10"/>
              </w:rPr>
              <w:t xml:space="preserve"> </w:t>
            </w:r>
            <w:r>
              <w:t>operar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manter os sistemas de abastecimento de água e esgotamento sanitário nos referidos aglomerados (assim como ocorre nos demais casos de expansão territorial previstos no edital), mas não implica que a Concessionária deva implantar, às suas próprias expensas e sem qualquer mecanismo de compensação, a infraestrutura primária necessária ao atendimento desses núcleos.</w:t>
            </w:r>
          </w:p>
        </w:tc>
      </w:tr>
    </w:tbl>
    <w:p w14:paraId="061ADBB8" w14:textId="77777777" w:rsidR="0067794F" w:rsidRDefault="0067794F">
      <w:pPr>
        <w:pStyle w:val="TableParagraph"/>
        <w:spacing w:line="276" w:lineRule="auto"/>
        <w:jc w:val="both"/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4F6BD2FF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555CD8DF" w14:textId="77777777">
        <w:trPr>
          <w:trHeight w:val="3098"/>
        </w:trPr>
        <w:tc>
          <w:tcPr>
            <w:tcW w:w="2258" w:type="dxa"/>
          </w:tcPr>
          <w:p w14:paraId="768A6078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35A3C1A6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27" w:type="dxa"/>
          </w:tcPr>
          <w:p w14:paraId="6648C010" w14:textId="77777777" w:rsidR="0067794F" w:rsidRDefault="00000000">
            <w:pPr>
              <w:pStyle w:val="TableParagraph"/>
              <w:spacing w:before="101" w:line="276" w:lineRule="auto"/>
              <w:ind w:right="72"/>
              <w:jc w:val="both"/>
            </w:pPr>
            <w:r>
              <w:t>A obrigação de construir tal infraestrutura, ausente loteador ou empreendedor a quem atribuí-la, recai sobre o Poder Concedente, a quem incumbirá cedê-la à Concessionária nos termos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estrutura</w:t>
            </w:r>
            <w:r>
              <w:rPr>
                <w:spacing w:val="-2"/>
              </w:rPr>
              <w:t xml:space="preserve"> </w:t>
            </w:r>
            <w:r>
              <w:t>contratual</w:t>
            </w:r>
            <w:r>
              <w:rPr>
                <w:spacing w:val="-3"/>
              </w:rPr>
              <w:t xml:space="preserve"> </w:t>
            </w:r>
            <w:r>
              <w:t>vigente,</w:t>
            </w:r>
            <w:r>
              <w:rPr>
                <w:spacing w:val="-3"/>
              </w:rPr>
              <w:t xml:space="preserve"> </w:t>
            </w:r>
            <w:r>
              <w:t>sendo</w:t>
            </w:r>
            <w:r>
              <w:rPr>
                <w:spacing w:val="-3"/>
              </w:rPr>
              <w:t xml:space="preserve"> </w:t>
            </w:r>
            <w:r>
              <w:t>a Concessionária, nessa hipótese, responsável apenas pela subsequente operação e manutenção, sem reequilíbrio.</w:t>
            </w:r>
          </w:p>
          <w:p w14:paraId="0FFD1FF3" w14:textId="77777777" w:rsidR="0067794F" w:rsidRDefault="0067794F">
            <w:pPr>
              <w:pStyle w:val="TableParagraph"/>
              <w:spacing w:before="25"/>
              <w:ind w:left="0"/>
            </w:pPr>
          </w:p>
          <w:p w14:paraId="7CBF6399" w14:textId="77777777" w:rsidR="0067794F" w:rsidRDefault="00000000">
            <w:pPr>
              <w:pStyle w:val="TableParagraph"/>
              <w:spacing w:before="1"/>
              <w:jc w:val="both"/>
            </w:pPr>
            <w:r>
              <w:t>Está</w:t>
            </w:r>
            <w:r>
              <w:rPr>
                <w:spacing w:val="-4"/>
              </w:rPr>
              <w:t xml:space="preserve"> </w:t>
            </w:r>
            <w:r>
              <w:t>correto</w:t>
            </w:r>
            <w:r>
              <w:rPr>
                <w:spacing w:val="-4"/>
              </w:rPr>
              <w:t xml:space="preserve"> </w:t>
            </w:r>
            <w:r>
              <w:t>esse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entendimento?</w:t>
            </w:r>
          </w:p>
        </w:tc>
      </w:tr>
      <w:tr w:rsidR="0067794F" w14:paraId="68BAFE1A" w14:textId="77777777">
        <w:trPr>
          <w:trHeight w:val="10095"/>
        </w:trPr>
        <w:tc>
          <w:tcPr>
            <w:tcW w:w="2258" w:type="dxa"/>
          </w:tcPr>
          <w:p w14:paraId="65F8B941" w14:textId="77777777" w:rsidR="0067794F" w:rsidRDefault="00000000">
            <w:pPr>
              <w:pStyle w:val="TableParagraph"/>
              <w:spacing w:before="101"/>
              <w:ind w:left="0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2410" w:type="dxa"/>
          </w:tcPr>
          <w:p w14:paraId="11E7CF14" w14:textId="77777777" w:rsidR="0067794F" w:rsidRDefault="00000000">
            <w:pPr>
              <w:pStyle w:val="TableParagraph"/>
              <w:spacing w:before="100"/>
              <w:ind w:left="437"/>
            </w:pPr>
            <w:r>
              <w:t>Cláusulas</w:t>
            </w:r>
            <w:r>
              <w:rPr>
                <w:spacing w:val="-5"/>
              </w:rPr>
              <w:t xml:space="preserve"> </w:t>
            </w:r>
            <w:r>
              <w:t>33.9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e</w:t>
            </w:r>
          </w:p>
          <w:p w14:paraId="04FFEB4A" w14:textId="77777777" w:rsidR="0067794F" w:rsidRDefault="00000000">
            <w:pPr>
              <w:pStyle w:val="TableParagraph"/>
              <w:spacing w:before="110" w:line="343" w:lineRule="auto"/>
              <w:ind w:left="833" w:hanging="550"/>
            </w:pPr>
            <w:r>
              <w:t>33.9.1</w:t>
            </w:r>
            <w:r>
              <w:rPr>
                <w:spacing w:val="-13"/>
              </w:rPr>
              <w:t xml:space="preserve"> </w:t>
            </w:r>
            <w:r>
              <w:t>da</w:t>
            </w:r>
            <w:r>
              <w:rPr>
                <w:spacing w:val="-13"/>
              </w:rPr>
              <w:t xml:space="preserve"> </w:t>
            </w:r>
            <w:r>
              <w:t>Minuta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Contrato</w:t>
            </w:r>
          </w:p>
        </w:tc>
        <w:tc>
          <w:tcPr>
            <w:tcW w:w="4827" w:type="dxa"/>
          </w:tcPr>
          <w:p w14:paraId="68F2321F" w14:textId="77777777" w:rsidR="0067794F" w:rsidRDefault="00000000">
            <w:pPr>
              <w:pStyle w:val="TableParagraph"/>
              <w:spacing w:before="100" w:line="276" w:lineRule="auto"/>
              <w:ind w:right="73"/>
              <w:jc w:val="both"/>
            </w:pPr>
            <w:r>
              <w:t>Considerando</w:t>
            </w:r>
            <w:r>
              <w:rPr>
                <w:spacing w:val="-16"/>
              </w:rPr>
              <w:t xml:space="preserve"> </w:t>
            </w:r>
            <w:r>
              <w:t>que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>Cláusula</w:t>
            </w:r>
            <w:r>
              <w:rPr>
                <w:spacing w:val="-16"/>
              </w:rPr>
              <w:t xml:space="preserve"> </w:t>
            </w:r>
            <w:r>
              <w:t>33.9</w:t>
            </w:r>
            <w:r>
              <w:rPr>
                <w:spacing w:val="-15"/>
              </w:rPr>
              <w:t xml:space="preserve"> </w:t>
            </w:r>
            <w:r>
              <w:t>da</w:t>
            </w:r>
            <w:r>
              <w:rPr>
                <w:spacing w:val="-15"/>
              </w:rPr>
              <w:t xml:space="preserve"> </w:t>
            </w:r>
            <w:r>
              <w:t>Minuta</w:t>
            </w:r>
            <w:r>
              <w:rPr>
                <w:spacing w:val="-15"/>
              </w:rPr>
              <w:t xml:space="preserve"> </w:t>
            </w:r>
            <w:r>
              <w:t>de Contrato prevê que a recomposição do equilíbrio econômico-financeiro será apurada pelo método do Fluxo de Caixa Marginal, de modo</w:t>
            </w:r>
            <w:r>
              <w:rPr>
                <w:spacing w:val="-11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seja</w:t>
            </w:r>
            <w:r>
              <w:rPr>
                <w:spacing w:val="-11"/>
              </w:rPr>
              <w:t xml:space="preserve"> </w:t>
            </w:r>
            <w:r>
              <w:t>nulo</w:t>
            </w:r>
            <w:r>
              <w:rPr>
                <w:spacing w:val="-11"/>
              </w:rPr>
              <w:t xml:space="preserve"> </w:t>
            </w:r>
            <w:r>
              <w:t>o</w:t>
            </w:r>
            <w:r>
              <w:rPr>
                <w:spacing w:val="-13"/>
              </w:rPr>
              <w:t xml:space="preserve"> </w:t>
            </w:r>
            <w:r>
              <w:t>valor</w:t>
            </w:r>
            <w:r>
              <w:rPr>
                <w:spacing w:val="-10"/>
              </w:rPr>
              <w:t xml:space="preserve"> </w:t>
            </w:r>
            <w:r>
              <w:t>presente</w:t>
            </w:r>
            <w:r>
              <w:rPr>
                <w:spacing w:val="-13"/>
              </w:rPr>
              <w:t xml:space="preserve"> </w:t>
            </w:r>
            <w:r>
              <w:t>líquido</w:t>
            </w:r>
            <w:r>
              <w:rPr>
                <w:spacing w:val="-11"/>
              </w:rPr>
              <w:t xml:space="preserve"> </w:t>
            </w:r>
            <w:r>
              <w:t>dos fluxos projetados em razão do evento que ensejou o desequilíbrio;</w:t>
            </w:r>
          </w:p>
          <w:p w14:paraId="2E79D0F7" w14:textId="77777777" w:rsidR="0067794F" w:rsidRDefault="0067794F">
            <w:pPr>
              <w:pStyle w:val="TableParagraph"/>
              <w:spacing w:before="39"/>
              <w:ind w:left="0"/>
            </w:pPr>
          </w:p>
          <w:p w14:paraId="12525752" w14:textId="77777777" w:rsidR="0067794F" w:rsidRDefault="00000000">
            <w:pPr>
              <w:pStyle w:val="TableParagraph"/>
              <w:spacing w:line="276" w:lineRule="auto"/>
              <w:ind w:right="72"/>
              <w:jc w:val="both"/>
            </w:pPr>
            <w:r>
              <w:t>Considerando</w:t>
            </w:r>
            <w:r>
              <w:rPr>
                <w:spacing w:val="-16"/>
              </w:rPr>
              <w:t xml:space="preserve"> </w:t>
            </w:r>
            <w:r>
              <w:t>que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>Cláusula</w:t>
            </w:r>
            <w:r>
              <w:rPr>
                <w:spacing w:val="-16"/>
              </w:rPr>
              <w:t xml:space="preserve"> </w:t>
            </w:r>
            <w:r>
              <w:t>33.9.1</w:t>
            </w:r>
            <w:r>
              <w:rPr>
                <w:spacing w:val="-15"/>
              </w:rPr>
              <w:t xml:space="preserve"> </w:t>
            </w:r>
            <w:r>
              <w:t>estabelece que a taxa de desconto real anual aplicável ao cálculo do valor presente será composta pela média diária dos últimos 12 (doze) meses, contados da data de materialização do evento que ensejou o desequilíbrio, da taxa bruta de juros de venda dos títulos públicos Tesouro IPCA + (NTN-B) com juros semestrais, capitalizada de um “</w:t>
            </w:r>
            <w:r>
              <w:rPr>
                <w:rFonts w:ascii="Arial" w:hAnsi="Arial"/>
                <w:i/>
              </w:rPr>
              <w:t>spread ou sobretaxa equivalente a 137,61% a.a., base 252 dias úteis</w:t>
            </w:r>
            <w:r>
              <w:t xml:space="preserve">”, mediante aplicação da fórmula ali </w:t>
            </w:r>
            <w:r>
              <w:rPr>
                <w:spacing w:val="-2"/>
              </w:rPr>
              <w:t>indicada;</w:t>
            </w:r>
          </w:p>
          <w:p w14:paraId="7BEC921E" w14:textId="77777777" w:rsidR="0067794F" w:rsidRDefault="0067794F">
            <w:pPr>
              <w:pStyle w:val="TableParagraph"/>
              <w:spacing w:before="39"/>
              <w:ind w:left="0"/>
            </w:pPr>
          </w:p>
          <w:p w14:paraId="3DAE84FB" w14:textId="77777777" w:rsidR="0067794F" w:rsidRDefault="00000000">
            <w:pPr>
              <w:pStyle w:val="TableParagraph"/>
              <w:spacing w:line="276" w:lineRule="auto"/>
              <w:ind w:right="74"/>
              <w:jc w:val="both"/>
            </w:pPr>
            <w:r>
              <w:t>Considerando que a fórmula prevista na Cláusula 33.9.1 indica, para o cálculo do valor presente dos Fluxos de Caixa Marginais, a aplicação da expressão “(</w:t>
            </w:r>
            <w:r>
              <w:rPr>
                <w:rFonts w:ascii="Arial" w:hAnsi="Arial"/>
                <w:i/>
              </w:rPr>
              <w:t>1 + NTNBs x SPREAD)ª</w:t>
            </w:r>
            <w:r>
              <w:t>”, o que evidencia que o percentual de 137,61% opera como fator multiplicador incidente sobre a taxa NTN-B apurada, e não como taxa autônoma de desconto:</w:t>
            </w:r>
          </w:p>
          <w:p w14:paraId="6B30633A" w14:textId="77777777" w:rsidR="0067794F" w:rsidRDefault="0067794F">
            <w:pPr>
              <w:pStyle w:val="TableParagraph"/>
              <w:spacing w:before="38"/>
              <w:ind w:left="0"/>
            </w:pPr>
          </w:p>
          <w:p w14:paraId="3A5BA44D" w14:textId="77777777" w:rsidR="0067794F" w:rsidRDefault="00000000">
            <w:pPr>
              <w:pStyle w:val="TableParagraph"/>
              <w:spacing w:before="1" w:line="276" w:lineRule="auto"/>
              <w:ind w:right="72"/>
              <w:jc w:val="both"/>
            </w:pPr>
            <w:r>
              <w:t>Entende-se</w:t>
            </w:r>
            <w:r>
              <w:rPr>
                <w:spacing w:val="-9"/>
              </w:rPr>
              <w:t xml:space="preserve"> </w:t>
            </w:r>
            <w:r>
              <w:t>que,</w:t>
            </w:r>
            <w:r>
              <w:rPr>
                <w:spacing w:val="-8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fins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cálculo</w:t>
            </w:r>
            <w:r>
              <w:rPr>
                <w:spacing w:val="-9"/>
              </w:rPr>
              <w:t xml:space="preserve"> </w:t>
            </w:r>
            <w:r>
              <w:t>da</w:t>
            </w:r>
            <w:r>
              <w:rPr>
                <w:spacing w:val="-9"/>
              </w:rPr>
              <w:t xml:space="preserve"> </w:t>
            </w:r>
            <w:r>
              <w:t>taxa</w:t>
            </w:r>
            <w:r>
              <w:rPr>
                <w:spacing w:val="-9"/>
              </w:rPr>
              <w:t xml:space="preserve"> </w:t>
            </w:r>
            <w:r>
              <w:t>de desconto</w:t>
            </w:r>
            <w:r>
              <w:rPr>
                <w:spacing w:val="-2"/>
              </w:rPr>
              <w:t xml:space="preserve"> </w:t>
            </w:r>
            <w:r>
              <w:t>aplicável</w:t>
            </w:r>
            <w:r>
              <w:rPr>
                <w:spacing w:val="-3"/>
              </w:rPr>
              <w:t xml:space="preserve"> </w:t>
            </w:r>
            <w:r>
              <w:t>ao</w:t>
            </w:r>
            <w:r>
              <w:rPr>
                <w:spacing w:val="-3"/>
              </w:rPr>
              <w:t xml:space="preserve"> </w:t>
            </w:r>
            <w:r>
              <w:t>Fluxo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Caixa</w:t>
            </w:r>
            <w:r>
              <w:rPr>
                <w:spacing w:val="-5"/>
              </w:rPr>
              <w:t xml:space="preserve"> </w:t>
            </w:r>
            <w:r>
              <w:t>Marginal, o percentual de 137,61% deve ser aplicado como</w:t>
            </w:r>
            <w:r>
              <w:rPr>
                <w:spacing w:val="41"/>
              </w:rPr>
              <w:t xml:space="preserve"> </w:t>
            </w:r>
            <w:r>
              <w:t>fator</w:t>
            </w:r>
            <w:r>
              <w:rPr>
                <w:spacing w:val="42"/>
              </w:rPr>
              <w:t xml:space="preserve"> </w:t>
            </w:r>
            <w:r>
              <w:t>multiplicador</w:t>
            </w:r>
            <w:r>
              <w:rPr>
                <w:spacing w:val="42"/>
              </w:rPr>
              <w:t xml:space="preserve"> </w:t>
            </w:r>
            <w:r>
              <w:t>sobre</w:t>
            </w:r>
            <w:r>
              <w:rPr>
                <w:spacing w:val="42"/>
              </w:rPr>
              <w:t xml:space="preserve"> </w:t>
            </w:r>
            <w:r>
              <w:t>a</w:t>
            </w:r>
            <w:r>
              <w:rPr>
                <w:spacing w:val="42"/>
              </w:rPr>
              <w:t xml:space="preserve"> </w:t>
            </w:r>
            <w:r>
              <w:t>taxa</w:t>
            </w:r>
            <w:r>
              <w:rPr>
                <w:spacing w:val="41"/>
              </w:rPr>
              <w:t xml:space="preserve"> </w:t>
            </w:r>
            <w:r>
              <w:t>NTN-</w:t>
            </w:r>
            <w:r>
              <w:rPr>
                <w:spacing w:val="-10"/>
              </w:rPr>
              <w:t>B</w:t>
            </w:r>
          </w:p>
        </w:tc>
      </w:tr>
    </w:tbl>
    <w:p w14:paraId="68B32D5E" w14:textId="77777777" w:rsidR="0067794F" w:rsidRDefault="0067794F">
      <w:pPr>
        <w:pStyle w:val="TableParagraph"/>
        <w:spacing w:line="276" w:lineRule="auto"/>
        <w:jc w:val="both"/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3CE06E01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62838541" w14:textId="77777777">
        <w:trPr>
          <w:trHeight w:val="2526"/>
        </w:trPr>
        <w:tc>
          <w:tcPr>
            <w:tcW w:w="2258" w:type="dxa"/>
          </w:tcPr>
          <w:p w14:paraId="08E8E3B3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6973FA81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27" w:type="dxa"/>
          </w:tcPr>
          <w:p w14:paraId="215E14B6" w14:textId="77777777" w:rsidR="0067794F" w:rsidRDefault="00000000">
            <w:pPr>
              <w:pStyle w:val="TableParagraph"/>
              <w:spacing w:before="101" w:line="276" w:lineRule="auto"/>
              <w:ind w:right="72"/>
              <w:jc w:val="both"/>
            </w:pPr>
            <w:r>
              <w:t>apurada na forma da Cláusula 33.9.1 - equivalente ao fator 1,3761 incidente sobre a taxa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referência.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título</w:t>
            </w:r>
            <w:r>
              <w:rPr>
                <w:spacing w:val="-10"/>
              </w:rPr>
              <w:t xml:space="preserve"> </w:t>
            </w:r>
            <w:r>
              <w:t>exemplificativo:</w:t>
            </w:r>
            <w:r>
              <w:rPr>
                <w:spacing w:val="-11"/>
              </w:rPr>
              <w:t xml:space="preserve"> </w:t>
            </w:r>
            <w:r>
              <w:t>caso a NTN-B considerada seja de 10% a.a., a taxa de desconto resultante corresponderia a 13,761% a.a.</w:t>
            </w:r>
          </w:p>
          <w:p w14:paraId="314D4889" w14:textId="77777777" w:rsidR="0067794F" w:rsidRDefault="0067794F">
            <w:pPr>
              <w:pStyle w:val="TableParagraph"/>
              <w:spacing w:before="36"/>
              <w:ind w:left="0"/>
            </w:pPr>
          </w:p>
          <w:p w14:paraId="7CE46F01" w14:textId="77777777" w:rsidR="0067794F" w:rsidRDefault="00000000">
            <w:pPr>
              <w:pStyle w:val="TableParagraph"/>
              <w:jc w:val="both"/>
            </w:pPr>
            <w:r>
              <w:t>Está</w:t>
            </w:r>
            <w:r>
              <w:rPr>
                <w:spacing w:val="-4"/>
              </w:rPr>
              <w:t xml:space="preserve"> </w:t>
            </w:r>
            <w:r>
              <w:t>correto</w:t>
            </w:r>
            <w:r>
              <w:rPr>
                <w:spacing w:val="-4"/>
              </w:rPr>
              <w:t xml:space="preserve"> </w:t>
            </w:r>
            <w:r>
              <w:t>esse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entendimento?</w:t>
            </w:r>
          </w:p>
        </w:tc>
      </w:tr>
      <w:tr w:rsidR="0067794F" w14:paraId="64260238" w14:textId="77777777">
        <w:trPr>
          <w:trHeight w:val="401"/>
        </w:trPr>
        <w:tc>
          <w:tcPr>
            <w:tcW w:w="2258" w:type="dxa"/>
            <w:tcBorders>
              <w:bottom w:val="nil"/>
            </w:tcBorders>
          </w:tcPr>
          <w:p w14:paraId="6A9BED3F" w14:textId="77777777" w:rsidR="0067794F" w:rsidRDefault="00000000">
            <w:pPr>
              <w:pStyle w:val="TableParagraph"/>
              <w:spacing w:before="100"/>
              <w:ind w:left="20" w:right="216"/>
              <w:jc w:val="center"/>
            </w:pPr>
            <w:r>
              <w:rPr>
                <w:spacing w:val="-5"/>
              </w:rPr>
              <w:t>04</w:t>
            </w:r>
          </w:p>
        </w:tc>
        <w:tc>
          <w:tcPr>
            <w:tcW w:w="2410" w:type="dxa"/>
            <w:tcBorders>
              <w:bottom w:val="nil"/>
            </w:tcBorders>
          </w:tcPr>
          <w:p w14:paraId="7AE97388" w14:textId="77777777" w:rsidR="0067794F" w:rsidRDefault="00000000">
            <w:pPr>
              <w:pStyle w:val="TableParagraph"/>
              <w:spacing w:before="100"/>
              <w:ind w:left="122"/>
              <w:jc w:val="center"/>
            </w:pPr>
            <w:r>
              <w:t>Itens</w:t>
            </w:r>
            <w:r>
              <w:rPr>
                <w:spacing w:val="-6"/>
              </w:rPr>
              <w:t xml:space="preserve"> </w:t>
            </w:r>
            <w:r>
              <w:t>3.2;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4.1.3;</w:t>
            </w:r>
          </w:p>
        </w:tc>
        <w:tc>
          <w:tcPr>
            <w:tcW w:w="4827" w:type="dxa"/>
            <w:vMerge w:val="restart"/>
          </w:tcPr>
          <w:p w14:paraId="69022CF4" w14:textId="77777777" w:rsidR="0067794F" w:rsidRDefault="00000000">
            <w:pPr>
              <w:pStyle w:val="TableParagraph"/>
              <w:spacing w:before="100" w:line="276" w:lineRule="auto"/>
              <w:ind w:right="73"/>
              <w:jc w:val="both"/>
            </w:pPr>
            <w:r>
              <w:rPr>
                <w:spacing w:val="-2"/>
              </w:rPr>
              <w:t>Considerando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que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Anexo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VIII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–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Diretrizes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para </w:t>
            </w:r>
            <w:r>
              <w:t>Elaboração dos Fluxos de Caixa para Fins de Reequilíbrio</w:t>
            </w:r>
            <w:r>
              <w:rPr>
                <w:spacing w:val="-14"/>
              </w:rPr>
              <w:t xml:space="preserve"> </w:t>
            </w:r>
            <w:r>
              <w:t>Econômico-Financeiro</w:t>
            </w:r>
            <w:r>
              <w:rPr>
                <w:spacing w:val="-14"/>
              </w:rPr>
              <w:t xml:space="preserve"> </w:t>
            </w:r>
            <w:r>
              <w:t>do</w:t>
            </w:r>
            <w:r>
              <w:rPr>
                <w:spacing w:val="-14"/>
              </w:rPr>
              <w:t xml:space="preserve"> </w:t>
            </w:r>
            <w:r>
              <w:t>Contrato estabelece que o fluxo de caixa deverá ser elaborado em base real, “</w:t>
            </w:r>
            <w:r>
              <w:rPr>
                <w:rFonts w:ascii="Arial" w:hAnsi="Arial"/>
                <w:i/>
              </w:rPr>
              <w:t>com data-base do EVTE DA CONCESSIONÁRIA</w:t>
            </w:r>
            <w:r>
              <w:t>”, e que referida expressão é utilizada como referência metodológica em múltiplos itens do Anexo VIII para diferentes componentes do fluxo de caixa marginal</w:t>
            </w:r>
            <w:r>
              <w:rPr>
                <w:spacing w:val="20"/>
              </w:rPr>
              <w:t xml:space="preserve"> </w:t>
            </w:r>
            <w:r>
              <w:t>(itens</w:t>
            </w:r>
            <w:r>
              <w:rPr>
                <w:spacing w:val="22"/>
              </w:rPr>
              <w:t xml:space="preserve"> </w:t>
            </w:r>
            <w:r>
              <w:t>3.2,</w:t>
            </w:r>
            <w:r>
              <w:rPr>
                <w:spacing w:val="23"/>
              </w:rPr>
              <w:t xml:space="preserve"> </w:t>
            </w:r>
            <w:r>
              <w:t>4.1.3,</w:t>
            </w:r>
            <w:r>
              <w:rPr>
                <w:spacing w:val="22"/>
              </w:rPr>
              <w:t xml:space="preserve"> </w:t>
            </w:r>
            <w:r>
              <w:t>4.1.7,</w:t>
            </w:r>
            <w:r>
              <w:rPr>
                <w:spacing w:val="23"/>
              </w:rPr>
              <w:t xml:space="preserve"> </w:t>
            </w:r>
            <w:r>
              <w:t>7,</w:t>
            </w:r>
            <w:r>
              <w:rPr>
                <w:spacing w:val="20"/>
              </w:rPr>
              <w:t xml:space="preserve"> </w:t>
            </w:r>
            <w:r>
              <w:t>10.6,</w:t>
            </w:r>
            <w:r>
              <w:rPr>
                <w:spacing w:val="23"/>
              </w:rPr>
              <w:t xml:space="preserve"> </w:t>
            </w:r>
            <w:r>
              <w:rPr>
                <w:spacing w:val="-4"/>
              </w:rPr>
              <w:t>10.7,</w:t>
            </w:r>
          </w:p>
          <w:p w14:paraId="138372EC" w14:textId="77777777" w:rsidR="0067794F" w:rsidRDefault="00000000">
            <w:pPr>
              <w:pStyle w:val="TableParagraph"/>
              <w:jc w:val="both"/>
            </w:pPr>
            <w:r>
              <w:t>10.8,</w:t>
            </w:r>
            <w:r>
              <w:rPr>
                <w:spacing w:val="-5"/>
              </w:rPr>
              <w:t xml:space="preserve"> </w:t>
            </w:r>
            <w:r>
              <w:t>10.9,</w:t>
            </w:r>
            <w:r>
              <w:rPr>
                <w:spacing w:val="-1"/>
              </w:rPr>
              <w:t xml:space="preserve"> </w:t>
            </w:r>
            <w:r>
              <w:t>10.10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17);</w:t>
            </w:r>
          </w:p>
          <w:p w14:paraId="34DC78E3" w14:textId="77777777" w:rsidR="0067794F" w:rsidRDefault="0067794F">
            <w:pPr>
              <w:pStyle w:val="TableParagraph"/>
              <w:spacing w:before="77"/>
              <w:ind w:left="0"/>
            </w:pPr>
          </w:p>
          <w:p w14:paraId="09167C4D" w14:textId="77777777" w:rsidR="0067794F" w:rsidRDefault="00000000">
            <w:pPr>
              <w:pStyle w:val="TableParagraph"/>
              <w:spacing w:before="1" w:line="276" w:lineRule="auto"/>
              <w:ind w:right="71"/>
              <w:jc w:val="both"/>
            </w:pPr>
            <w:r>
              <w:t>Considerando que a expressão “</w:t>
            </w:r>
            <w:r>
              <w:rPr>
                <w:rFonts w:ascii="Arial" w:hAnsi="Arial"/>
                <w:i/>
              </w:rPr>
              <w:t>EVTE DA CONCESSIONÁRIA</w:t>
            </w:r>
            <w:r>
              <w:t>” não consta do Anexo X - Glossário e não é disciplinada nos demais documentos do edital, que não indicam seu conteúdo mínimo, data-base, forma de elaboração nem rito de aprovação;</w:t>
            </w:r>
          </w:p>
          <w:p w14:paraId="3EAB55AA" w14:textId="77777777" w:rsidR="0067794F" w:rsidRDefault="0067794F">
            <w:pPr>
              <w:pStyle w:val="TableParagraph"/>
              <w:spacing w:before="36"/>
              <w:ind w:left="0"/>
            </w:pPr>
          </w:p>
          <w:p w14:paraId="4E021D5E" w14:textId="77777777" w:rsidR="0067794F" w:rsidRDefault="00000000">
            <w:pPr>
              <w:pStyle w:val="TableParagraph"/>
              <w:spacing w:before="1" w:line="276" w:lineRule="auto"/>
              <w:ind w:right="75"/>
              <w:jc w:val="both"/>
            </w:pPr>
            <w:r>
              <w:t>Considerando que o modelo de Proposta Comercial constante do Anexo III do Edital limita-se, essencialmente, à indicação do valor ofertado</w:t>
            </w:r>
            <w:r>
              <w:rPr>
                <w:spacing w:val="31"/>
              </w:rPr>
              <w:t xml:space="preserve"> </w:t>
            </w:r>
            <w:r>
              <w:t>a</w:t>
            </w:r>
            <w:r>
              <w:rPr>
                <w:spacing w:val="29"/>
              </w:rPr>
              <w:t xml:space="preserve"> </w:t>
            </w:r>
            <w:r>
              <w:t>título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31"/>
              </w:rPr>
              <w:t xml:space="preserve"> </w:t>
            </w:r>
            <w:r>
              <w:t>outorga</w:t>
            </w:r>
            <w:r>
              <w:rPr>
                <w:spacing w:val="31"/>
              </w:rPr>
              <w:t xml:space="preserve"> </w:t>
            </w:r>
            <w:r>
              <w:t>fixa</w:t>
            </w:r>
            <w:r>
              <w:rPr>
                <w:spacing w:val="34"/>
              </w:rPr>
              <w:t xml:space="preserve"> </w:t>
            </w:r>
            <w:r>
              <w:t>e</w:t>
            </w:r>
            <w:r>
              <w:rPr>
                <w:spacing w:val="31"/>
              </w:rPr>
              <w:t xml:space="preserve"> </w:t>
            </w:r>
            <w:r>
              <w:t>que</w:t>
            </w:r>
            <w:r>
              <w:rPr>
                <w:spacing w:val="29"/>
              </w:rPr>
              <w:t xml:space="preserve"> </w:t>
            </w:r>
            <w:r>
              <w:t>o</w:t>
            </w:r>
            <w:r>
              <w:rPr>
                <w:spacing w:val="32"/>
              </w:rPr>
              <w:t xml:space="preserve"> </w:t>
            </w:r>
            <w:r>
              <w:rPr>
                <w:spacing w:val="-4"/>
              </w:rPr>
              <w:t>item</w:t>
            </w:r>
          </w:p>
          <w:p w14:paraId="422D8B58" w14:textId="77777777" w:rsidR="0067794F" w:rsidRDefault="00000000">
            <w:pPr>
              <w:pStyle w:val="TableParagraph"/>
              <w:spacing w:line="276" w:lineRule="auto"/>
              <w:ind w:right="73"/>
              <w:jc w:val="both"/>
            </w:pPr>
            <w:r>
              <w:t>20.7 do Edital veda expressamente a inclusão de</w:t>
            </w:r>
            <w:r>
              <w:rPr>
                <w:spacing w:val="-4"/>
              </w:rPr>
              <w:t xml:space="preserve"> </w:t>
            </w:r>
            <w:r>
              <w:t>plano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negócios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9"/>
              </w:rPr>
              <w:t xml:space="preserve"> </w:t>
            </w:r>
            <w:r>
              <w:t>Envelope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Proposta Comercial, impossibilitando a apresentação do referido EVTE no âmbito desta licitação:</w:t>
            </w:r>
          </w:p>
          <w:p w14:paraId="684793E5" w14:textId="77777777" w:rsidR="0067794F" w:rsidRDefault="0067794F">
            <w:pPr>
              <w:pStyle w:val="TableParagraph"/>
              <w:spacing w:before="28"/>
              <w:ind w:left="0"/>
            </w:pPr>
          </w:p>
          <w:p w14:paraId="1D01ABBC" w14:textId="77777777" w:rsidR="0067794F" w:rsidRDefault="00000000">
            <w:pPr>
              <w:pStyle w:val="TableParagraph"/>
              <w:spacing w:before="1" w:line="276" w:lineRule="auto"/>
              <w:ind w:right="74"/>
              <w:jc w:val="both"/>
            </w:pPr>
            <w:r>
              <w:t>Entende-se que: (i) o "EVTE DA CONCESSIONÁRIA" é o estudo de viabilidade elaborado pela Concessionária com base em suas próprias premissas econômico- financeiras, que fundamentaram a proposta vencedora; (ii) sua apresentação formal ocorrerá após a assinatura do contrato, em prazo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rito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serem</w:t>
            </w:r>
            <w:r>
              <w:rPr>
                <w:spacing w:val="-3"/>
              </w:rPr>
              <w:t xml:space="preserve"> </w:t>
            </w:r>
            <w:r>
              <w:t>definidos</w:t>
            </w:r>
            <w:r>
              <w:rPr>
                <w:spacing w:val="-3"/>
              </w:rPr>
              <w:t xml:space="preserve"> </w:t>
            </w:r>
            <w:r>
              <w:t>pelo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Concedente</w:t>
            </w:r>
          </w:p>
        </w:tc>
      </w:tr>
      <w:tr w:rsidR="0067794F" w14:paraId="2981AB52" w14:textId="77777777">
        <w:trPr>
          <w:trHeight w:val="342"/>
        </w:trPr>
        <w:tc>
          <w:tcPr>
            <w:tcW w:w="2258" w:type="dxa"/>
            <w:tcBorders>
              <w:top w:val="nil"/>
              <w:bottom w:val="nil"/>
            </w:tcBorders>
          </w:tcPr>
          <w:p w14:paraId="212FFDA8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4922CB4E" w14:textId="77777777" w:rsidR="0067794F" w:rsidRDefault="00000000">
            <w:pPr>
              <w:pStyle w:val="TableParagraph"/>
              <w:spacing w:before="41"/>
              <w:ind w:left="121"/>
              <w:jc w:val="center"/>
            </w:pPr>
            <w:r>
              <w:t>4.1.7;</w:t>
            </w:r>
            <w:r>
              <w:rPr>
                <w:spacing w:val="-2"/>
              </w:rPr>
              <w:t xml:space="preserve"> </w:t>
            </w:r>
            <w:r>
              <w:t>7;</w:t>
            </w:r>
            <w:r>
              <w:rPr>
                <w:spacing w:val="-1"/>
              </w:rPr>
              <w:t xml:space="preserve"> </w:t>
            </w:r>
            <w:r>
              <w:t>10.6;</w:t>
            </w:r>
            <w:r>
              <w:rPr>
                <w:spacing w:val="-4"/>
              </w:rPr>
              <w:t xml:space="preserve"> 10.7;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56DE4ECB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66713984" w14:textId="77777777">
        <w:trPr>
          <w:trHeight w:val="342"/>
        </w:trPr>
        <w:tc>
          <w:tcPr>
            <w:tcW w:w="2258" w:type="dxa"/>
            <w:tcBorders>
              <w:top w:val="nil"/>
              <w:bottom w:val="nil"/>
            </w:tcBorders>
          </w:tcPr>
          <w:p w14:paraId="6E964001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152250B1" w14:textId="77777777" w:rsidR="0067794F" w:rsidRDefault="00000000">
            <w:pPr>
              <w:pStyle w:val="TableParagraph"/>
              <w:spacing w:before="41"/>
              <w:ind w:left="307" w:right="182"/>
              <w:jc w:val="center"/>
            </w:pPr>
            <w:r>
              <w:t>10.8;</w:t>
            </w:r>
            <w:r>
              <w:rPr>
                <w:spacing w:val="-6"/>
              </w:rPr>
              <w:t xml:space="preserve"> </w:t>
            </w:r>
            <w:r>
              <w:t>10.9,</w:t>
            </w:r>
            <w:r>
              <w:rPr>
                <w:spacing w:val="-2"/>
              </w:rPr>
              <w:t xml:space="preserve"> </w:t>
            </w:r>
            <w:r>
              <w:t>10.10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607E402F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6994F235" w14:textId="77777777">
        <w:trPr>
          <w:trHeight w:val="343"/>
        </w:trPr>
        <w:tc>
          <w:tcPr>
            <w:tcW w:w="2258" w:type="dxa"/>
            <w:tcBorders>
              <w:top w:val="nil"/>
              <w:bottom w:val="nil"/>
            </w:tcBorders>
          </w:tcPr>
          <w:p w14:paraId="20B8731E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F250A88" w14:textId="77777777" w:rsidR="0067794F" w:rsidRDefault="00000000">
            <w:pPr>
              <w:pStyle w:val="TableParagraph"/>
              <w:spacing w:before="41"/>
              <w:ind w:left="124"/>
              <w:jc w:val="center"/>
            </w:pPr>
            <w:r>
              <w:t>17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Anexo</w:t>
            </w:r>
            <w:r>
              <w:rPr>
                <w:spacing w:val="-4"/>
              </w:rPr>
              <w:t xml:space="preserve"> </w:t>
            </w:r>
            <w:r>
              <w:t>VIII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–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2B11EBEF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297D4611" w14:textId="77777777">
        <w:trPr>
          <w:trHeight w:val="343"/>
        </w:trPr>
        <w:tc>
          <w:tcPr>
            <w:tcW w:w="2258" w:type="dxa"/>
            <w:tcBorders>
              <w:top w:val="nil"/>
              <w:bottom w:val="nil"/>
            </w:tcBorders>
          </w:tcPr>
          <w:p w14:paraId="121CD8E9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7BA2D92" w14:textId="77777777" w:rsidR="0067794F" w:rsidRDefault="00000000">
            <w:pPr>
              <w:pStyle w:val="TableParagraph"/>
              <w:spacing w:before="42"/>
              <w:ind w:left="123"/>
              <w:jc w:val="center"/>
            </w:pPr>
            <w:r>
              <w:t>Diretrizes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para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3C732C75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441328FD" w14:textId="77777777">
        <w:trPr>
          <w:trHeight w:val="342"/>
        </w:trPr>
        <w:tc>
          <w:tcPr>
            <w:tcW w:w="2258" w:type="dxa"/>
            <w:tcBorders>
              <w:top w:val="nil"/>
              <w:bottom w:val="nil"/>
            </w:tcBorders>
          </w:tcPr>
          <w:p w14:paraId="45F5D18B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2749366" w14:textId="77777777" w:rsidR="0067794F" w:rsidRDefault="00000000">
            <w:pPr>
              <w:pStyle w:val="TableParagraph"/>
              <w:spacing w:before="41"/>
              <w:ind w:left="121"/>
              <w:jc w:val="center"/>
            </w:pPr>
            <w:r>
              <w:t>Elaboração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dos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4D47519F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6106B198" w14:textId="77777777">
        <w:trPr>
          <w:trHeight w:val="342"/>
        </w:trPr>
        <w:tc>
          <w:tcPr>
            <w:tcW w:w="2258" w:type="dxa"/>
            <w:tcBorders>
              <w:top w:val="nil"/>
              <w:bottom w:val="nil"/>
            </w:tcBorders>
          </w:tcPr>
          <w:p w14:paraId="2E1855CA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6A00517" w14:textId="77777777" w:rsidR="0067794F" w:rsidRDefault="00000000">
            <w:pPr>
              <w:pStyle w:val="TableParagraph"/>
              <w:spacing w:before="41"/>
              <w:ind w:left="121"/>
              <w:jc w:val="center"/>
            </w:pPr>
            <w:r>
              <w:t>Fluxos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Caixa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73F033F8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15704F80" w14:textId="77777777">
        <w:trPr>
          <w:trHeight w:val="342"/>
        </w:trPr>
        <w:tc>
          <w:tcPr>
            <w:tcW w:w="2258" w:type="dxa"/>
            <w:tcBorders>
              <w:top w:val="nil"/>
              <w:bottom w:val="nil"/>
            </w:tcBorders>
          </w:tcPr>
          <w:p w14:paraId="58D801D6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1CB64FA" w14:textId="77777777" w:rsidR="0067794F" w:rsidRDefault="00000000">
            <w:pPr>
              <w:pStyle w:val="TableParagraph"/>
              <w:spacing w:before="41"/>
              <w:ind w:left="123"/>
              <w:jc w:val="center"/>
            </w:pPr>
            <w:r>
              <w:t>para</w:t>
            </w:r>
            <w:r>
              <w:rPr>
                <w:spacing w:val="-2"/>
              </w:rPr>
              <w:t xml:space="preserve"> </w:t>
            </w:r>
            <w:r>
              <w:t>Fins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de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22EDBCCA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236880B5" w14:textId="77777777">
        <w:trPr>
          <w:trHeight w:val="342"/>
        </w:trPr>
        <w:tc>
          <w:tcPr>
            <w:tcW w:w="2258" w:type="dxa"/>
            <w:tcBorders>
              <w:top w:val="nil"/>
              <w:bottom w:val="nil"/>
            </w:tcBorders>
          </w:tcPr>
          <w:p w14:paraId="10A6AB3C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503C615" w14:textId="77777777" w:rsidR="0067794F" w:rsidRDefault="00000000">
            <w:pPr>
              <w:pStyle w:val="TableParagraph"/>
              <w:spacing w:before="41"/>
              <w:ind w:left="124"/>
              <w:jc w:val="center"/>
            </w:pPr>
            <w:r>
              <w:rPr>
                <w:spacing w:val="-2"/>
              </w:rPr>
              <w:t>Reequilíbrio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5CD2F0B0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3BC609F2" w14:textId="77777777">
        <w:trPr>
          <w:trHeight w:val="342"/>
        </w:trPr>
        <w:tc>
          <w:tcPr>
            <w:tcW w:w="2258" w:type="dxa"/>
            <w:tcBorders>
              <w:top w:val="nil"/>
              <w:bottom w:val="nil"/>
            </w:tcBorders>
          </w:tcPr>
          <w:p w14:paraId="7B1E6163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78B17A9" w14:textId="77777777" w:rsidR="0067794F" w:rsidRDefault="00000000">
            <w:pPr>
              <w:pStyle w:val="TableParagraph"/>
              <w:spacing w:before="41"/>
              <w:ind w:left="122"/>
              <w:jc w:val="center"/>
            </w:pPr>
            <w:r>
              <w:rPr>
                <w:spacing w:val="-2"/>
              </w:rPr>
              <w:t>Econômico-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0E17A29D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1295239F" w14:textId="77777777">
        <w:trPr>
          <w:trHeight w:val="342"/>
        </w:trPr>
        <w:tc>
          <w:tcPr>
            <w:tcW w:w="2258" w:type="dxa"/>
            <w:tcBorders>
              <w:top w:val="nil"/>
              <w:bottom w:val="nil"/>
            </w:tcBorders>
          </w:tcPr>
          <w:p w14:paraId="3778697F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1740C26" w14:textId="77777777" w:rsidR="0067794F" w:rsidRDefault="00000000">
            <w:pPr>
              <w:pStyle w:val="TableParagraph"/>
              <w:spacing w:before="41"/>
              <w:ind w:left="121"/>
              <w:jc w:val="center"/>
            </w:pPr>
            <w:r>
              <w:t>Financeiro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do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7C02CD91" w14:textId="77777777" w:rsidR="0067794F" w:rsidRDefault="0067794F">
            <w:pPr>
              <w:rPr>
                <w:sz w:val="2"/>
                <w:szCs w:val="2"/>
              </w:rPr>
            </w:pPr>
          </w:p>
        </w:tc>
      </w:tr>
      <w:tr w:rsidR="0067794F" w14:paraId="40EB0177" w14:textId="77777777">
        <w:trPr>
          <w:trHeight w:val="6617"/>
        </w:trPr>
        <w:tc>
          <w:tcPr>
            <w:tcW w:w="2258" w:type="dxa"/>
            <w:tcBorders>
              <w:top w:val="nil"/>
            </w:tcBorders>
          </w:tcPr>
          <w:p w14:paraId="7E844C9F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347C6301" w14:textId="77777777" w:rsidR="0067794F" w:rsidRDefault="00000000">
            <w:pPr>
              <w:pStyle w:val="TableParagraph"/>
              <w:spacing w:before="41"/>
              <w:ind w:left="123"/>
              <w:jc w:val="center"/>
            </w:pPr>
            <w:r>
              <w:rPr>
                <w:spacing w:val="-2"/>
              </w:rPr>
              <w:t>Contrato</w:t>
            </w:r>
          </w:p>
        </w:tc>
        <w:tc>
          <w:tcPr>
            <w:tcW w:w="4827" w:type="dxa"/>
            <w:vMerge/>
            <w:tcBorders>
              <w:top w:val="nil"/>
            </w:tcBorders>
          </w:tcPr>
          <w:p w14:paraId="22EEDEED" w14:textId="77777777" w:rsidR="0067794F" w:rsidRDefault="0067794F">
            <w:pPr>
              <w:rPr>
                <w:sz w:val="2"/>
                <w:szCs w:val="2"/>
              </w:rPr>
            </w:pPr>
          </w:p>
        </w:tc>
      </w:tr>
    </w:tbl>
    <w:p w14:paraId="12A40421" w14:textId="77777777" w:rsidR="0067794F" w:rsidRDefault="0067794F">
      <w:pPr>
        <w:rPr>
          <w:sz w:val="2"/>
          <w:szCs w:val="2"/>
        </w:rPr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393F2DEC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57A11F08" w14:textId="77777777">
        <w:trPr>
          <w:trHeight w:val="3691"/>
        </w:trPr>
        <w:tc>
          <w:tcPr>
            <w:tcW w:w="2258" w:type="dxa"/>
          </w:tcPr>
          <w:p w14:paraId="47D17899" w14:textId="77777777" w:rsidR="0067794F" w:rsidRDefault="006779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4A0C5275" w14:textId="77777777" w:rsidR="0067794F" w:rsidRDefault="006779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827" w:type="dxa"/>
          </w:tcPr>
          <w:p w14:paraId="55C43A47" w14:textId="77777777" w:rsidR="0067794F" w:rsidRDefault="00000000">
            <w:pPr>
              <w:pStyle w:val="TableParagraph"/>
              <w:spacing w:before="101" w:line="276" w:lineRule="auto"/>
              <w:ind w:right="73"/>
              <w:jc w:val="both"/>
            </w:pPr>
            <w:r>
              <w:t>ou pela Agência Reguladora; (iii) a revisão do Concedente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Agência</w:t>
            </w:r>
            <w:r>
              <w:rPr>
                <w:spacing w:val="-4"/>
              </w:rPr>
              <w:t xml:space="preserve"> </w:t>
            </w:r>
            <w:r>
              <w:t>Reguladora</w:t>
            </w:r>
            <w:r>
              <w:rPr>
                <w:spacing w:val="-4"/>
              </w:rPr>
              <w:t xml:space="preserve"> </w:t>
            </w:r>
            <w:r>
              <w:t>limita-se à verificação de consistência com os documentos do edital, não sendo admissível a substituição das premissas da Concessionária por parâmetros definidos unilateralmente pelo Poder Público; e (iv) eventuais divergências sobre as premissas do EVTE não retroagem para alterar os parâmetros de reequilíbrio de eventos anteriores à sua aprovação formal.</w:t>
            </w:r>
          </w:p>
          <w:p w14:paraId="63FCA596" w14:textId="77777777" w:rsidR="0067794F" w:rsidRDefault="0067794F">
            <w:pPr>
              <w:pStyle w:val="TableParagraph"/>
              <w:spacing w:before="37"/>
              <w:ind w:left="0"/>
            </w:pPr>
          </w:p>
          <w:p w14:paraId="6E6945A1" w14:textId="77777777" w:rsidR="0067794F" w:rsidRDefault="00000000">
            <w:pPr>
              <w:pStyle w:val="TableParagraph"/>
              <w:jc w:val="both"/>
            </w:pPr>
            <w:r>
              <w:t>Estão</w:t>
            </w:r>
            <w:r>
              <w:rPr>
                <w:spacing w:val="-4"/>
              </w:rPr>
              <w:t xml:space="preserve"> </w:t>
            </w:r>
            <w:r>
              <w:t>corretos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entendimentos?</w:t>
            </w:r>
          </w:p>
        </w:tc>
      </w:tr>
      <w:tr w:rsidR="0067794F" w14:paraId="25A532EE" w14:textId="77777777">
        <w:trPr>
          <w:trHeight w:val="8827"/>
        </w:trPr>
        <w:tc>
          <w:tcPr>
            <w:tcW w:w="2258" w:type="dxa"/>
          </w:tcPr>
          <w:p w14:paraId="5B306553" w14:textId="77777777" w:rsidR="0067794F" w:rsidRDefault="00000000">
            <w:pPr>
              <w:pStyle w:val="TableParagraph"/>
              <w:spacing w:before="100"/>
              <w:ind w:left="20" w:right="216"/>
              <w:jc w:val="center"/>
            </w:pPr>
            <w:r>
              <w:rPr>
                <w:spacing w:val="-5"/>
              </w:rPr>
              <w:t>05</w:t>
            </w:r>
          </w:p>
        </w:tc>
        <w:tc>
          <w:tcPr>
            <w:tcW w:w="2410" w:type="dxa"/>
          </w:tcPr>
          <w:p w14:paraId="6AABFECF" w14:textId="77777777" w:rsidR="0067794F" w:rsidRDefault="00000000">
            <w:pPr>
              <w:pStyle w:val="TableParagraph"/>
              <w:spacing w:before="100" w:line="343" w:lineRule="auto"/>
              <w:ind w:left="374" w:right="249" w:firstLine="2"/>
              <w:jc w:val="center"/>
            </w:pPr>
            <w:r>
              <w:t>Preâmbulo do Edital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Minuta</w:t>
            </w:r>
            <w:r>
              <w:rPr>
                <w:spacing w:val="-1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Contrato</w:t>
            </w:r>
          </w:p>
        </w:tc>
        <w:tc>
          <w:tcPr>
            <w:tcW w:w="4827" w:type="dxa"/>
          </w:tcPr>
          <w:p w14:paraId="635B4D59" w14:textId="77777777" w:rsidR="0067794F" w:rsidRDefault="00000000">
            <w:pPr>
              <w:pStyle w:val="TableParagraph"/>
              <w:spacing w:before="100" w:line="276" w:lineRule="auto"/>
              <w:ind w:right="75" w:firstLine="62"/>
              <w:jc w:val="both"/>
            </w:pPr>
            <w:r>
              <w:t>Considerando que o preâmbulo do Edital e a Minuta de Contrato estabelecem que a regulação e a fiscalização dos serviços concedidos serão exercidas pela Agência Reguladora de Serviços Públicos de Casa Branca (ARESPCAB), entidade sediada no Estado de São Paulo;</w:t>
            </w:r>
          </w:p>
          <w:p w14:paraId="40B33CBA" w14:textId="77777777" w:rsidR="0067794F" w:rsidRDefault="00000000">
            <w:pPr>
              <w:pStyle w:val="TableParagraph"/>
              <w:spacing w:before="100" w:line="276" w:lineRule="auto"/>
              <w:ind w:right="73"/>
              <w:jc w:val="both"/>
            </w:pPr>
            <w:r>
              <w:t>Considerando que o art. 23, §1º-A, da Lei Federal nº 11.445/2007 autoriza o titular dos serviços a aderir a entidade reguladora situada em</w:t>
            </w:r>
            <w:r>
              <w:rPr>
                <w:spacing w:val="-3"/>
              </w:rPr>
              <w:t xml:space="preserve"> </w:t>
            </w:r>
            <w:r>
              <w:t>outro</w:t>
            </w:r>
            <w:r>
              <w:rPr>
                <w:spacing w:val="-4"/>
              </w:rPr>
              <w:t xml:space="preserve"> </w:t>
            </w:r>
            <w:r>
              <w:t>Estado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Federação</w:t>
            </w:r>
            <w:r>
              <w:rPr>
                <w:spacing w:val="-5"/>
              </w:rPr>
              <w:t xml:space="preserve"> </w:t>
            </w:r>
            <w:r>
              <w:t>exclusivamente quando inexistir, no próprio Estado do titular, agência reguladora constituída que tenha aderido às normas de referência da ANA, devendo ser priorizada, dentre as entidades qualificadas,</w:t>
            </w:r>
            <w:r>
              <w:rPr>
                <w:spacing w:val="-16"/>
              </w:rPr>
              <w:t xml:space="preserve"> </w:t>
            </w:r>
            <w:r>
              <w:t>aquela</w:t>
            </w:r>
            <w:r>
              <w:rPr>
                <w:spacing w:val="-15"/>
              </w:rPr>
              <w:t xml:space="preserve"> </w:t>
            </w:r>
            <w:r>
              <w:t>mais</w:t>
            </w:r>
            <w:r>
              <w:rPr>
                <w:spacing w:val="-15"/>
              </w:rPr>
              <w:t xml:space="preserve"> </w:t>
            </w:r>
            <w:r>
              <w:t>próxima</w:t>
            </w:r>
            <w:r>
              <w:rPr>
                <w:spacing w:val="-16"/>
              </w:rPr>
              <w:t xml:space="preserve"> </w:t>
            </w:r>
            <w:r>
              <w:t>da</w:t>
            </w:r>
            <w:r>
              <w:rPr>
                <w:spacing w:val="-15"/>
              </w:rPr>
              <w:t xml:space="preserve"> </w:t>
            </w:r>
            <w:r>
              <w:t>localidade do titular;</w:t>
            </w:r>
          </w:p>
          <w:p w14:paraId="372D8CE7" w14:textId="77777777" w:rsidR="0067794F" w:rsidRDefault="00000000">
            <w:pPr>
              <w:pStyle w:val="TableParagraph"/>
              <w:spacing w:before="100" w:line="276" w:lineRule="auto"/>
              <w:ind w:right="72"/>
              <w:jc w:val="both"/>
            </w:pPr>
            <w:r>
              <w:t>Considerando</w:t>
            </w:r>
            <w:r>
              <w:rPr>
                <w:spacing w:val="-8"/>
              </w:rPr>
              <w:t xml:space="preserve"> </w:t>
            </w:r>
            <w:r>
              <w:t>que,</w:t>
            </w:r>
            <w:r>
              <w:rPr>
                <w:spacing w:val="-6"/>
              </w:rPr>
              <w:t xml:space="preserve"> </w:t>
            </w:r>
            <w:r>
              <w:t>conforme</w:t>
            </w:r>
            <w:r>
              <w:rPr>
                <w:spacing w:val="-9"/>
              </w:rPr>
              <w:t xml:space="preserve"> </w:t>
            </w:r>
            <w:r>
              <w:t>relação</w:t>
            </w:r>
            <w:r>
              <w:rPr>
                <w:spacing w:val="-8"/>
              </w:rPr>
              <w:t xml:space="preserve"> </w:t>
            </w:r>
            <w:r>
              <w:t>publicada pela ANA no âmbito da comprovação de atendimento às Normas de Referência dos Serviços de Abastecimento de Água e de Esgotamento Sanitário (edição 2025), constam como entidades reguladoras aderentes situadas no</w:t>
            </w:r>
            <w:r>
              <w:rPr>
                <w:spacing w:val="-2"/>
              </w:rPr>
              <w:t xml:space="preserve"> </w:t>
            </w:r>
            <w:r>
              <w:t>Estado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Minas Gerais a</w:t>
            </w:r>
            <w:r>
              <w:rPr>
                <w:spacing w:val="-2"/>
              </w:rPr>
              <w:t xml:space="preserve"> </w:t>
            </w:r>
            <w:r>
              <w:t>ARSAE- MG, a ARIS, a ARISB-MG e a ARSAMB</w:t>
            </w:r>
            <w:hyperlink w:anchor="_bookmark0" w:history="1">
              <w:r>
                <w:rPr>
                  <w:vertAlign w:val="superscript"/>
                </w:rPr>
                <w:t>1</w:t>
              </w:r>
            </w:hyperlink>
            <w:r>
              <w:t>.</w:t>
            </w:r>
          </w:p>
          <w:p w14:paraId="698351E2" w14:textId="77777777" w:rsidR="0067794F" w:rsidRDefault="0067794F">
            <w:pPr>
              <w:pStyle w:val="TableParagraph"/>
              <w:spacing w:before="29"/>
              <w:ind w:left="0"/>
            </w:pPr>
          </w:p>
          <w:p w14:paraId="6DE92E61" w14:textId="77777777" w:rsidR="0067794F" w:rsidRDefault="00000000">
            <w:pPr>
              <w:pStyle w:val="TableParagraph"/>
              <w:spacing w:line="276" w:lineRule="auto"/>
              <w:ind w:right="75"/>
              <w:jc w:val="both"/>
            </w:pPr>
            <w:r>
              <w:t>Considerando que a presença de ao menos uma</w:t>
            </w:r>
            <w:r>
              <w:rPr>
                <w:spacing w:val="-16"/>
              </w:rPr>
              <w:t xml:space="preserve"> </w:t>
            </w:r>
            <w:r>
              <w:t>entidade</w:t>
            </w:r>
            <w:r>
              <w:rPr>
                <w:spacing w:val="-15"/>
              </w:rPr>
              <w:t xml:space="preserve"> </w:t>
            </w:r>
            <w:r>
              <w:t>reguladora</w:t>
            </w:r>
            <w:r>
              <w:rPr>
                <w:spacing w:val="-15"/>
              </w:rPr>
              <w:t xml:space="preserve"> </w:t>
            </w:r>
            <w:r>
              <w:t>constituída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5"/>
              </w:rPr>
              <w:t xml:space="preserve"> </w:t>
            </w:r>
            <w:r>
              <w:t>aderente às</w:t>
            </w:r>
            <w:r>
              <w:rPr>
                <w:spacing w:val="4"/>
              </w:rPr>
              <w:t xml:space="preserve"> </w:t>
            </w:r>
            <w:r>
              <w:t>normas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4"/>
              </w:rPr>
              <w:t xml:space="preserve"> </w:t>
            </w:r>
            <w:r>
              <w:t>referência</w:t>
            </w:r>
            <w:r>
              <w:rPr>
                <w:spacing w:val="7"/>
              </w:rPr>
              <w:t xml:space="preserve"> </w:t>
            </w:r>
            <w:r>
              <w:t>da</w:t>
            </w:r>
            <w:r>
              <w:rPr>
                <w:spacing w:val="6"/>
              </w:rPr>
              <w:t xml:space="preserve"> </w:t>
            </w:r>
            <w:r>
              <w:t>ANA</w:t>
            </w:r>
            <w:r>
              <w:rPr>
                <w:spacing w:val="6"/>
              </w:rPr>
              <w:t xml:space="preserve"> </w:t>
            </w:r>
            <w:r>
              <w:t>no</w:t>
            </w:r>
            <w:r>
              <w:rPr>
                <w:spacing w:val="4"/>
              </w:rPr>
              <w:t xml:space="preserve"> </w:t>
            </w:r>
            <w:r>
              <w:t>Estado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de</w:t>
            </w:r>
          </w:p>
        </w:tc>
      </w:tr>
    </w:tbl>
    <w:p w14:paraId="4D9F9952" w14:textId="77777777" w:rsidR="0067794F" w:rsidRDefault="00000000">
      <w:pPr>
        <w:pStyle w:val="Corpodetexto"/>
        <w:spacing w:before="4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72D8F56" wp14:editId="79E08D89">
                <wp:simplePos x="0" y="0"/>
                <wp:positionH relativeFrom="page">
                  <wp:posOffset>990904</wp:posOffset>
                </wp:positionH>
                <wp:positionV relativeFrom="paragraph">
                  <wp:posOffset>192355</wp:posOffset>
                </wp:positionV>
                <wp:extent cx="1829435" cy="762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A097EF" id="Graphic 1" o:spid="_x0000_s1026" style="position:absolute;margin-left:78pt;margin-top:15.15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rVIwIAAL0EAAAOAAAAZHJzL2Uyb0RvYy54bWysVMFu2zAMvQ/YPwi6L06yNm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lz8fm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EC9B5DA" w14:textId="77777777" w:rsidR="0067794F" w:rsidRDefault="00000000">
      <w:pPr>
        <w:tabs>
          <w:tab w:val="left" w:pos="789"/>
        </w:tabs>
        <w:spacing w:before="92"/>
        <w:ind w:left="120" w:right="345"/>
        <w:rPr>
          <w:sz w:val="16"/>
        </w:rPr>
      </w:pPr>
      <w:bookmarkStart w:id="0" w:name="_bookmark0"/>
      <w:bookmarkEnd w:id="0"/>
      <w:r>
        <w:rPr>
          <w:spacing w:val="-10"/>
          <w:sz w:val="16"/>
          <w:vertAlign w:val="superscript"/>
        </w:rPr>
        <w:t>1</w:t>
      </w:r>
      <w:r>
        <w:rPr>
          <w:sz w:val="16"/>
        </w:rPr>
        <w:tab/>
      </w:r>
      <w:r>
        <w:rPr>
          <w:spacing w:val="-2"/>
          <w:sz w:val="16"/>
        </w:rPr>
        <w:t>https://</w:t>
      </w:r>
      <w:hyperlink r:id="rId5">
        <w:r>
          <w:rPr>
            <w:spacing w:val="-2"/>
            <w:sz w:val="16"/>
          </w:rPr>
          <w:t>www.gov.br/ana/pt-br/assuntos/saneamento-basico/conformidade-com-normativos-da-ana-e-decretos-governamentais-</w:t>
        </w:r>
      </w:hyperlink>
      <w:r>
        <w:rPr>
          <w:spacing w:val="-2"/>
          <w:sz w:val="16"/>
        </w:rPr>
        <w:t xml:space="preserve"> monitoramento/servicos-de-abastecimento-de-agua-potavel-e-esgotamento-sanitario200b-disponivel-em-20-12-2025</w:t>
      </w:r>
    </w:p>
    <w:p w14:paraId="1B526EF3" w14:textId="77777777" w:rsidR="0067794F" w:rsidRDefault="0067794F">
      <w:pPr>
        <w:rPr>
          <w:sz w:val="16"/>
        </w:rPr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44771268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3933329F" w14:textId="77777777">
        <w:trPr>
          <w:trHeight w:val="3198"/>
        </w:trPr>
        <w:tc>
          <w:tcPr>
            <w:tcW w:w="2258" w:type="dxa"/>
          </w:tcPr>
          <w:p w14:paraId="2709E71D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41F41A61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27" w:type="dxa"/>
          </w:tcPr>
          <w:p w14:paraId="4CA4C2B8" w14:textId="77777777" w:rsidR="0067794F" w:rsidRDefault="00000000">
            <w:pPr>
              <w:pStyle w:val="TableParagraph"/>
              <w:spacing w:before="101" w:line="276" w:lineRule="auto"/>
              <w:ind w:right="77"/>
              <w:jc w:val="both"/>
            </w:pPr>
            <w:r>
              <w:t>Minas</w:t>
            </w:r>
            <w:r>
              <w:rPr>
                <w:spacing w:val="-10"/>
              </w:rPr>
              <w:t xml:space="preserve"> </w:t>
            </w:r>
            <w:r>
              <w:t>Gerais</w:t>
            </w:r>
            <w:r>
              <w:rPr>
                <w:spacing w:val="-8"/>
              </w:rPr>
              <w:t xml:space="preserve"> </w:t>
            </w:r>
            <w:r>
              <w:t>é</w:t>
            </w:r>
            <w:r>
              <w:rPr>
                <w:spacing w:val="-10"/>
              </w:rPr>
              <w:t xml:space="preserve"> </w:t>
            </w:r>
            <w:r>
              <w:t>condição</w:t>
            </w:r>
            <w:r>
              <w:rPr>
                <w:spacing w:val="-11"/>
              </w:rPr>
              <w:t xml:space="preserve"> </w:t>
            </w:r>
            <w:r>
              <w:t>suficiente</w:t>
            </w:r>
            <w:r>
              <w:rPr>
                <w:spacing w:val="-10"/>
              </w:rPr>
              <w:t xml:space="preserve"> </w:t>
            </w:r>
            <w:r>
              <w:t>para</w:t>
            </w:r>
            <w:r>
              <w:rPr>
                <w:spacing w:val="-10"/>
              </w:rPr>
              <w:t xml:space="preserve"> </w:t>
            </w:r>
            <w:r>
              <w:t>afastar a</w:t>
            </w:r>
            <w:r>
              <w:rPr>
                <w:spacing w:val="23"/>
              </w:rPr>
              <w:t xml:space="preserve"> </w:t>
            </w:r>
            <w:r>
              <w:t>hipótese</w:t>
            </w:r>
            <w:r>
              <w:rPr>
                <w:spacing w:val="23"/>
              </w:rPr>
              <w:t xml:space="preserve"> </w:t>
            </w:r>
            <w:r>
              <w:t>de</w:t>
            </w:r>
            <w:r>
              <w:rPr>
                <w:spacing w:val="24"/>
              </w:rPr>
              <w:t xml:space="preserve"> </w:t>
            </w:r>
            <w:r>
              <w:t>inexistência</w:t>
            </w:r>
            <w:r>
              <w:rPr>
                <w:spacing w:val="25"/>
              </w:rPr>
              <w:t xml:space="preserve"> </w:t>
            </w:r>
            <w:r>
              <w:t>prevista</w:t>
            </w:r>
            <w:r>
              <w:rPr>
                <w:spacing w:val="26"/>
              </w:rPr>
              <w:t xml:space="preserve"> </w:t>
            </w:r>
            <w:r>
              <w:t>no</w:t>
            </w:r>
            <w:r>
              <w:rPr>
                <w:spacing w:val="23"/>
              </w:rPr>
              <w:t xml:space="preserve"> </w:t>
            </w:r>
            <w:r>
              <w:t>art.</w:t>
            </w:r>
            <w:r>
              <w:rPr>
                <w:spacing w:val="25"/>
              </w:rPr>
              <w:t xml:space="preserve"> </w:t>
            </w:r>
            <w:r>
              <w:rPr>
                <w:spacing w:val="-5"/>
              </w:rPr>
              <w:t>23,</w:t>
            </w:r>
          </w:p>
          <w:p w14:paraId="67CEF19F" w14:textId="77777777" w:rsidR="0067794F" w:rsidRDefault="00000000">
            <w:pPr>
              <w:pStyle w:val="TableParagraph"/>
              <w:spacing w:before="1"/>
              <w:jc w:val="both"/>
            </w:pPr>
            <w:r>
              <w:t>§1º-A,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Lei</w:t>
            </w:r>
            <w:r>
              <w:rPr>
                <w:spacing w:val="-2"/>
              </w:rPr>
              <w:t xml:space="preserve"> </w:t>
            </w:r>
            <w:r>
              <w:t>Federal</w:t>
            </w:r>
            <w:r>
              <w:rPr>
                <w:spacing w:val="-4"/>
              </w:rPr>
              <w:t xml:space="preserve"> </w:t>
            </w:r>
            <w:r>
              <w:t>nº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11.445/2007;</w:t>
            </w:r>
          </w:p>
          <w:p w14:paraId="0918465E" w14:textId="77777777" w:rsidR="0067794F" w:rsidRDefault="0067794F">
            <w:pPr>
              <w:pStyle w:val="TableParagraph"/>
              <w:spacing w:before="63"/>
              <w:ind w:left="0"/>
            </w:pPr>
          </w:p>
          <w:p w14:paraId="03504351" w14:textId="77777777" w:rsidR="0067794F" w:rsidRDefault="00000000">
            <w:pPr>
              <w:pStyle w:val="TableParagraph"/>
              <w:spacing w:line="276" w:lineRule="auto"/>
              <w:ind w:right="75"/>
              <w:jc w:val="both"/>
            </w:pPr>
            <w:r>
              <w:t>Solicita-se</w:t>
            </w:r>
            <w:r>
              <w:rPr>
                <w:spacing w:val="-13"/>
              </w:rPr>
              <w:t xml:space="preserve"> </w:t>
            </w:r>
            <w:r>
              <w:t>esclarecer</w:t>
            </w:r>
            <w:r>
              <w:rPr>
                <w:spacing w:val="-13"/>
              </w:rPr>
              <w:t xml:space="preserve"> </w:t>
            </w:r>
            <w:r>
              <w:t>os</w:t>
            </w:r>
            <w:r>
              <w:rPr>
                <w:spacing w:val="-15"/>
              </w:rPr>
              <w:t xml:space="preserve"> </w:t>
            </w:r>
            <w:r>
              <w:t>fundamentos</w:t>
            </w:r>
            <w:r>
              <w:rPr>
                <w:spacing w:val="-16"/>
              </w:rPr>
              <w:t xml:space="preserve"> </w:t>
            </w:r>
            <w:r>
              <w:t>técnicos, jurídicos e regulatórios que justificaram a escolha</w:t>
            </w:r>
            <w:r>
              <w:rPr>
                <w:spacing w:val="-13"/>
              </w:rPr>
              <w:t xml:space="preserve"> </w:t>
            </w:r>
            <w:r>
              <w:t>da</w:t>
            </w:r>
            <w:r>
              <w:rPr>
                <w:spacing w:val="-13"/>
              </w:rPr>
              <w:t xml:space="preserve"> </w:t>
            </w:r>
            <w:r>
              <w:t>ARESPCAB</w:t>
            </w:r>
            <w:r>
              <w:rPr>
                <w:spacing w:val="-16"/>
              </w:rPr>
              <w:t xml:space="preserve"> </w:t>
            </w:r>
            <w:r>
              <w:t>para</w:t>
            </w:r>
            <w:r>
              <w:rPr>
                <w:spacing w:val="-14"/>
              </w:rPr>
              <w:t xml:space="preserve"> </w:t>
            </w:r>
            <w:r>
              <w:t>regular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5"/>
              </w:rPr>
              <w:t xml:space="preserve"> </w:t>
            </w:r>
            <w:r>
              <w:t>fiscalizar a concessão, bem como informar se foram consultadas entidades reguladoras de Minas Gerais aptas a exercer essa atividade.</w:t>
            </w:r>
          </w:p>
        </w:tc>
      </w:tr>
      <w:tr w:rsidR="0067794F" w14:paraId="29CF9956" w14:textId="77777777">
        <w:trPr>
          <w:trHeight w:val="9528"/>
        </w:trPr>
        <w:tc>
          <w:tcPr>
            <w:tcW w:w="2258" w:type="dxa"/>
          </w:tcPr>
          <w:p w14:paraId="7C29E071" w14:textId="77777777" w:rsidR="0067794F" w:rsidRDefault="00000000">
            <w:pPr>
              <w:pStyle w:val="TableParagraph"/>
              <w:spacing w:before="101"/>
              <w:ind w:left="20" w:right="216"/>
              <w:jc w:val="center"/>
            </w:pPr>
            <w:r>
              <w:rPr>
                <w:spacing w:val="-5"/>
              </w:rPr>
              <w:t>06</w:t>
            </w:r>
          </w:p>
        </w:tc>
        <w:tc>
          <w:tcPr>
            <w:tcW w:w="2410" w:type="dxa"/>
          </w:tcPr>
          <w:p w14:paraId="6D94485B" w14:textId="77777777" w:rsidR="0067794F" w:rsidRDefault="00000000">
            <w:pPr>
              <w:pStyle w:val="TableParagraph"/>
              <w:spacing w:before="101" w:line="343" w:lineRule="auto"/>
              <w:ind w:left="374" w:hanging="5"/>
            </w:pPr>
            <w:r>
              <w:t>Item</w:t>
            </w:r>
            <w:r>
              <w:rPr>
                <w:spacing w:val="-12"/>
              </w:rPr>
              <w:t xml:space="preserve"> </w:t>
            </w:r>
            <w:r>
              <w:t>7.2</w:t>
            </w:r>
            <w:r>
              <w:rPr>
                <w:spacing w:val="-12"/>
              </w:rPr>
              <w:t xml:space="preserve"> </w:t>
            </w:r>
            <w:r>
              <w:t>do</w:t>
            </w:r>
            <w:r>
              <w:rPr>
                <w:spacing w:val="-14"/>
              </w:rPr>
              <w:t xml:space="preserve"> </w:t>
            </w:r>
            <w:r>
              <w:t>Edital; Cláusulas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8.7.1.3;</w:t>
            </w:r>
          </w:p>
          <w:p w14:paraId="6CA8CE41" w14:textId="77777777" w:rsidR="0067794F" w:rsidRDefault="00000000">
            <w:pPr>
              <w:pStyle w:val="TableParagraph"/>
              <w:spacing w:before="1"/>
              <w:ind w:left="552"/>
            </w:pPr>
            <w:r>
              <w:t>34.8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35.2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do</w:t>
            </w:r>
          </w:p>
          <w:p w14:paraId="22FD95EA" w14:textId="77777777" w:rsidR="0067794F" w:rsidRDefault="00000000">
            <w:pPr>
              <w:pStyle w:val="TableParagraph"/>
              <w:spacing w:before="109" w:line="343" w:lineRule="auto"/>
              <w:ind w:left="310" w:right="187"/>
              <w:jc w:val="center"/>
            </w:pPr>
            <w:r>
              <w:t>Contrato;</w:t>
            </w:r>
            <w:r>
              <w:rPr>
                <w:spacing w:val="-16"/>
              </w:rPr>
              <w:t xml:space="preserve"> </w:t>
            </w:r>
            <w:r>
              <w:t xml:space="preserve">Cláusula 3.5, “i”, do Anexo </w:t>
            </w:r>
            <w:r>
              <w:rPr>
                <w:spacing w:val="-4"/>
              </w:rPr>
              <w:t>VII</w:t>
            </w:r>
          </w:p>
        </w:tc>
        <w:tc>
          <w:tcPr>
            <w:tcW w:w="4827" w:type="dxa"/>
          </w:tcPr>
          <w:p w14:paraId="756D070C" w14:textId="77777777" w:rsidR="0067794F" w:rsidRDefault="00000000">
            <w:pPr>
              <w:pStyle w:val="TableParagraph"/>
              <w:spacing w:before="101" w:line="276" w:lineRule="auto"/>
              <w:ind w:right="76"/>
              <w:jc w:val="both"/>
            </w:pPr>
            <w:r>
              <w:t>O item 7.2 do Edital e a Cláusula 35.2 do Contrato estabelecem o pagamento de 100% da outorga fixa como condição para a assinatura do instrumento convocatório.</w:t>
            </w:r>
          </w:p>
          <w:p w14:paraId="72B45DC7" w14:textId="77777777" w:rsidR="0067794F" w:rsidRDefault="0067794F">
            <w:pPr>
              <w:pStyle w:val="TableParagraph"/>
              <w:spacing w:before="236"/>
              <w:ind w:left="0"/>
            </w:pPr>
          </w:p>
          <w:p w14:paraId="0C7E9667" w14:textId="77777777" w:rsidR="0067794F" w:rsidRDefault="00000000">
            <w:pPr>
              <w:pStyle w:val="TableParagraph"/>
              <w:spacing w:before="1" w:line="276" w:lineRule="auto"/>
              <w:ind w:right="73"/>
              <w:jc w:val="both"/>
            </w:pPr>
            <w:r>
              <w:t>Paralelamente,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início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operação</w:t>
            </w:r>
            <w:r>
              <w:rPr>
                <w:spacing w:val="-5"/>
              </w:rPr>
              <w:t xml:space="preserve"> </w:t>
            </w:r>
            <w:r>
              <w:t>pela</w:t>
            </w:r>
            <w:r>
              <w:rPr>
                <w:spacing w:val="-7"/>
              </w:rPr>
              <w:t xml:space="preserve"> </w:t>
            </w:r>
            <w:r>
              <w:t>futura Concessionária,</w:t>
            </w:r>
            <w:r>
              <w:rPr>
                <w:spacing w:val="-16"/>
              </w:rPr>
              <w:t xml:space="preserve"> </w:t>
            </w:r>
            <w:r>
              <w:t>está</w:t>
            </w:r>
            <w:r>
              <w:rPr>
                <w:spacing w:val="-15"/>
              </w:rPr>
              <w:t xml:space="preserve"> </w:t>
            </w:r>
            <w:r>
              <w:t>condicionado</w:t>
            </w:r>
            <w:r>
              <w:rPr>
                <w:spacing w:val="-15"/>
              </w:rPr>
              <w:t xml:space="preserve"> </w:t>
            </w:r>
            <w:r>
              <w:t>à</w:t>
            </w:r>
            <w:r>
              <w:rPr>
                <w:spacing w:val="-16"/>
              </w:rPr>
              <w:t xml:space="preserve"> </w:t>
            </w:r>
            <w:r>
              <w:t>assinatura do Termo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Transferência do Sistema,</w:t>
            </w:r>
            <w:r>
              <w:rPr>
                <w:spacing w:val="-1"/>
              </w:rPr>
              <w:t xml:space="preserve"> </w:t>
            </w:r>
            <w:r>
              <w:t xml:space="preserve">o qual, por sua vez, depende da comprovação do pagamento ou do depósito judicial da indenização devida à atual prestadora, nos termos do art. 42, § 5º, da Lei Federal nº 11.445/2007 e da Cláusula 8.7.1 da minuta </w:t>
            </w:r>
            <w:r>
              <w:rPr>
                <w:spacing w:val="-2"/>
              </w:rPr>
              <w:t>contratual;</w:t>
            </w:r>
          </w:p>
          <w:p w14:paraId="6F5CB1AD" w14:textId="77777777" w:rsidR="0067794F" w:rsidRDefault="0067794F">
            <w:pPr>
              <w:pStyle w:val="TableParagraph"/>
              <w:spacing w:before="239"/>
              <w:ind w:left="0"/>
            </w:pPr>
          </w:p>
          <w:p w14:paraId="521925E5" w14:textId="77777777" w:rsidR="0067794F" w:rsidRDefault="00000000">
            <w:pPr>
              <w:pStyle w:val="TableParagraph"/>
              <w:spacing w:line="276" w:lineRule="auto"/>
              <w:ind w:right="71"/>
              <w:jc w:val="both"/>
            </w:pPr>
            <w:r>
              <w:t>Ocorre que, quando há controvérsia judicial acerca do valor da indenização dos ativos não amortizados, surge risco relevante de descasamento econômico-financeiro e de imobilização</w:t>
            </w:r>
            <w:r>
              <w:rPr>
                <w:spacing w:val="-15"/>
              </w:rPr>
              <w:t xml:space="preserve"> </w:t>
            </w:r>
            <w:r>
              <w:t>antecipada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6"/>
              </w:rPr>
              <w:t xml:space="preserve"> </w:t>
            </w:r>
            <w:r>
              <w:t>capital</w:t>
            </w:r>
            <w:r>
              <w:rPr>
                <w:spacing w:val="-15"/>
              </w:rPr>
              <w:t xml:space="preserve"> </w:t>
            </w:r>
            <w:r>
              <w:t>privado,</w:t>
            </w:r>
            <w:r>
              <w:rPr>
                <w:spacing w:val="-15"/>
              </w:rPr>
              <w:t xml:space="preserve"> </w:t>
            </w:r>
            <w:r>
              <w:t>com potencial “aprisionamento de capital” da adjudicatária.</w:t>
            </w:r>
            <w:r>
              <w:rPr>
                <w:spacing w:val="-8"/>
              </w:rPr>
              <w:t xml:space="preserve"> </w:t>
            </w:r>
            <w:r>
              <w:t>Em</w:t>
            </w:r>
            <w:r>
              <w:rPr>
                <w:spacing w:val="-8"/>
              </w:rPr>
              <w:t xml:space="preserve"> </w:t>
            </w:r>
            <w:r>
              <w:t>outras</w:t>
            </w:r>
            <w:r>
              <w:rPr>
                <w:spacing w:val="-13"/>
              </w:rPr>
              <w:t xml:space="preserve"> </w:t>
            </w:r>
            <w:r>
              <w:t>palavras,</w:t>
            </w:r>
            <w:r>
              <w:rPr>
                <w:spacing w:val="-8"/>
              </w:rPr>
              <w:t xml:space="preserve"> </w:t>
            </w:r>
            <w:r>
              <w:t>é</w:t>
            </w:r>
            <w:r>
              <w:rPr>
                <w:spacing w:val="-11"/>
              </w:rPr>
              <w:t xml:space="preserve"> </w:t>
            </w:r>
            <w:r>
              <w:t>dizer</w:t>
            </w:r>
            <w:r>
              <w:rPr>
                <w:spacing w:val="-10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a licitante vencedora pode ser obrigada a desembolsar valores significativos, como é o caso da Outorga Fixa, antes de assumir efetivamente o sistema, iniciar a operação e gerar receitas, ficando exposta a atrasos decorrentes de discussão indenizatória entre o Poder Concedente e a prestadora anterior.</w:t>
            </w:r>
          </w:p>
        </w:tc>
      </w:tr>
    </w:tbl>
    <w:p w14:paraId="1C3A353D" w14:textId="77777777" w:rsidR="0067794F" w:rsidRDefault="0067794F">
      <w:pPr>
        <w:pStyle w:val="TableParagraph"/>
        <w:spacing w:line="276" w:lineRule="auto"/>
        <w:jc w:val="both"/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00191318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409DEC76" w14:textId="77777777">
        <w:trPr>
          <w:trHeight w:val="13121"/>
        </w:trPr>
        <w:tc>
          <w:tcPr>
            <w:tcW w:w="2258" w:type="dxa"/>
          </w:tcPr>
          <w:p w14:paraId="5CFE4075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20FB9FF3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27" w:type="dxa"/>
          </w:tcPr>
          <w:p w14:paraId="7033ED6A" w14:textId="77777777" w:rsidR="0067794F" w:rsidRDefault="00000000">
            <w:pPr>
              <w:pStyle w:val="TableParagraph"/>
              <w:spacing w:before="101" w:line="276" w:lineRule="auto"/>
              <w:ind w:right="74"/>
              <w:jc w:val="both"/>
            </w:pPr>
            <w:r>
              <w:t>Assim, o Anexo VII – Minuta Referencial do Contrato de Administração de Contas, em sua Cláusula 3.5, “i”, já reconhece que o Município somente fará jus ao recebimento da Outorga Fixa após a emissão do Termo de Transferência, devendo os recursos permanecerem retidos na Conta Vinculada até a implementação desse marco.</w:t>
            </w:r>
          </w:p>
          <w:p w14:paraId="1327E7EF" w14:textId="77777777" w:rsidR="0067794F" w:rsidRDefault="0067794F">
            <w:pPr>
              <w:pStyle w:val="TableParagraph"/>
              <w:spacing w:before="237"/>
              <w:ind w:left="0"/>
            </w:pPr>
          </w:p>
          <w:p w14:paraId="7CF96901" w14:textId="77777777" w:rsidR="0067794F" w:rsidRDefault="00000000">
            <w:pPr>
              <w:pStyle w:val="TableParagraph"/>
              <w:spacing w:line="276" w:lineRule="auto"/>
              <w:ind w:right="72"/>
              <w:jc w:val="both"/>
            </w:pPr>
            <w:r>
              <w:t>Além disso, o art. 42 da Norma de Referência ANA nº 03/2023 dispõe que, na hipótese de incerteza ou dissenso</w:t>
            </w:r>
            <w:r>
              <w:rPr>
                <w:spacing w:val="-2"/>
              </w:rPr>
              <w:t xml:space="preserve"> </w:t>
            </w:r>
            <w:r>
              <w:t>acerca do valor devido a título de indenização, os valores provenientes de recursos de outorga e destinados à indenização poderão ser depositados em juízo pelo</w:t>
            </w:r>
            <w:r>
              <w:rPr>
                <w:spacing w:val="-4"/>
              </w:rPr>
              <w:t xml:space="preserve"> </w:t>
            </w:r>
            <w:r>
              <w:t>licitante</w:t>
            </w:r>
            <w:r>
              <w:rPr>
                <w:spacing w:val="-4"/>
              </w:rPr>
              <w:t xml:space="preserve"> </w:t>
            </w:r>
            <w:r>
              <w:t>vencedor,</w:t>
            </w:r>
            <w:r>
              <w:rPr>
                <w:spacing w:val="-3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conta</w:t>
            </w:r>
            <w:r>
              <w:rPr>
                <w:spacing w:val="-4"/>
              </w:rPr>
              <w:t xml:space="preserve"> </w:t>
            </w:r>
            <w:r>
              <w:t>exclusiva,</w:t>
            </w:r>
            <w:r>
              <w:rPr>
                <w:spacing w:val="-3"/>
              </w:rPr>
              <w:t xml:space="preserve"> </w:t>
            </w:r>
            <w:r>
              <w:t>até que decisão final seja proferida.</w:t>
            </w:r>
          </w:p>
          <w:p w14:paraId="073E3983" w14:textId="77777777" w:rsidR="0067794F" w:rsidRDefault="0067794F">
            <w:pPr>
              <w:pStyle w:val="TableParagraph"/>
              <w:spacing w:before="237"/>
              <w:ind w:left="0"/>
            </w:pPr>
          </w:p>
          <w:p w14:paraId="79310AA9" w14:textId="77777777" w:rsidR="0067794F" w:rsidRDefault="00000000">
            <w:pPr>
              <w:pStyle w:val="TableParagraph"/>
              <w:spacing w:before="1" w:line="276" w:lineRule="auto"/>
              <w:ind w:right="73"/>
              <w:jc w:val="both"/>
            </w:pPr>
            <w:r>
              <w:t>Verifica-se, portanto, que tanto a lógica contratual quanto a disciplina regulatória setorial</w:t>
            </w:r>
            <w:r>
              <w:rPr>
                <w:spacing w:val="-14"/>
              </w:rPr>
              <w:t xml:space="preserve"> </w:t>
            </w:r>
            <w:r>
              <w:t>convergem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14"/>
              </w:rPr>
              <w:t xml:space="preserve"> </w:t>
            </w:r>
            <w:r>
              <w:t>sentido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admitir</w:t>
            </w:r>
            <w:r>
              <w:rPr>
                <w:spacing w:val="-13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os recursos da Outorga Fixa permaneçam vinculados à solução da controvérsia indenizatória até a efetiva transferência do sistema, justamente para evitar que a indefinição acerca do quantum devido à atual prestadora comprometa a continuidade do procedimento licitatório, a assunção dos serviços pela futura Concessionária ou a própria sustentabilidade econômico-financeira do projeto.</w:t>
            </w:r>
          </w:p>
          <w:p w14:paraId="6972FED0" w14:textId="77777777" w:rsidR="0067794F" w:rsidRDefault="0067794F">
            <w:pPr>
              <w:pStyle w:val="TableParagraph"/>
              <w:spacing w:before="239"/>
              <w:ind w:left="0"/>
            </w:pPr>
          </w:p>
          <w:p w14:paraId="7BA6507E" w14:textId="77777777" w:rsidR="0067794F" w:rsidRDefault="00000000">
            <w:pPr>
              <w:pStyle w:val="TableParagraph"/>
              <w:spacing w:line="276" w:lineRule="auto"/>
              <w:ind w:right="77"/>
              <w:jc w:val="both"/>
            </w:pPr>
            <w:r>
              <w:t>Diante do exposto, e com vistas a evitar que a controvérsia indenizatória impeça ou retarde o início da operação, compreende-se que:</w:t>
            </w:r>
          </w:p>
          <w:p w14:paraId="366AF74C" w14:textId="77777777" w:rsidR="0067794F" w:rsidRDefault="00000000">
            <w:pPr>
              <w:pStyle w:val="TableParagraph"/>
              <w:spacing w:before="100" w:line="276" w:lineRule="auto"/>
              <w:ind w:right="73"/>
              <w:jc w:val="both"/>
            </w:pPr>
            <w:r>
              <w:t>(i)</w:t>
            </w:r>
            <w:r>
              <w:rPr>
                <w:spacing w:val="-16"/>
              </w:rPr>
              <w:t xml:space="preserve"> </w:t>
            </w:r>
            <w:r>
              <w:t>Para</w:t>
            </w:r>
            <w:r>
              <w:rPr>
                <w:spacing w:val="-15"/>
              </w:rPr>
              <w:t xml:space="preserve"> </w:t>
            </w:r>
            <w:r>
              <w:t>mitigar</w:t>
            </w:r>
            <w:r>
              <w:rPr>
                <w:spacing w:val="-15"/>
              </w:rPr>
              <w:t xml:space="preserve"> </w:t>
            </w:r>
            <w:r>
              <w:t>o</w:t>
            </w:r>
            <w:r>
              <w:rPr>
                <w:spacing w:val="-16"/>
              </w:rPr>
              <w:t xml:space="preserve"> </w:t>
            </w:r>
            <w:r>
              <w:t>risco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desembolso</w:t>
            </w:r>
            <w:r>
              <w:rPr>
                <w:spacing w:val="-15"/>
              </w:rPr>
              <w:t xml:space="preserve"> </w:t>
            </w:r>
            <w:r>
              <w:t>financeiro antecipado sem a correspondente contraprestação,</w:t>
            </w:r>
            <w:r>
              <w:rPr>
                <w:spacing w:val="-7"/>
              </w:rPr>
              <w:t xml:space="preserve"> </w:t>
            </w:r>
            <w:r>
              <w:t>isto</w:t>
            </w:r>
            <w:r>
              <w:rPr>
                <w:spacing w:val="-13"/>
              </w:rPr>
              <w:t xml:space="preserve"> </w:t>
            </w:r>
            <w:r>
              <w:t>é,</w:t>
            </w:r>
            <w:r>
              <w:rPr>
                <w:spacing w:val="-11"/>
              </w:rPr>
              <w:t xml:space="preserve"> </w:t>
            </w:r>
            <w:r>
              <w:t>sem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efetiva</w:t>
            </w:r>
            <w:r>
              <w:rPr>
                <w:spacing w:val="-13"/>
              </w:rPr>
              <w:t xml:space="preserve"> </w:t>
            </w:r>
            <w:r>
              <w:t>assunção do</w:t>
            </w:r>
            <w:r>
              <w:rPr>
                <w:spacing w:val="-9"/>
              </w:rPr>
              <w:t xml:space="preserve"> </w:t>
            </w:r>
            <w:r>
              <w:t>sistema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sem</w:t>
            </w:r>
            <w:r>
              <w:rPr>
                <w:spacing w:val="-7"/>
              </w:rPr>
              <w:t xml:space="preserve"> </w:t>
            </w:r>
            <w:r>
              <w:t>início</w:t>
            </w:r>
            <w:r>
              <w:rPr>
                <w:spacing w:val="-10"/>
              </w:rPr>
              <w:t xml:space="preserve"> </w:t>
            </w:r>
            <w:r>
              <w:t>da</w:t>
            </w:r>
            <w:r>
              <w:rPr>
                <w:spacing w:val="-9"/>
              </w:rPr>
              <w:t xml:space="preserve"> </w:t>
            </w:r>
            <w:r>
              <w:t>geração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receitas, o</w:t>
            </w:r>
            <w:r>
              <w:rPr>
                <w:spacing w:val="-5"/>
              </w:rPr>
              <w:t xml:space="preserve"> </w:t>
            </w:r>
            <w:r>
              <w:t>depósito</w:t>
            </w:r>
            <w:r>
              <w:rPr>
                <w:spacing w:val="-7"/>
              </w:rPr>
              <w:t xml:space="preserve"> </w:t>
            </w:r>
            <w:r>
              <w:t>da</w:t>
            </w:r>
            <w:r>
              <w:rPr>
                <w:spacing w:val="-9"/>
              </w:rPr>
              <w:t xml:space="preserve"> </w:t>
            </w:r>
            <w:r>
              <w:t>Outorga</w:t>
            </w:r>
            <w:r>
              <w:rPr>
                <w:spacing w:val="-7"/>
              </w:rPr>
              <w:t xml:space="preserve"> </w:t>
            </w:r>
            <w:r>
              <w:t>Fixa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Conta</w:t>
            </w:r>
            <w:r>
              <w:rPr>
                <w:spacing w:val="-7"/>
              </w:rPr>
              <w:t xml:space="preserve"> </w:t>
            </w:r>
            <w:r>
              <w:t>Vinculada poderá ocorrer de forma sincronizada com o pagamento</w:t>
            </w:r>
            <w:r>
              <w:rPr>
                <w:spacing w:val="2"/>
              </w:rPr>
              <w:t xml:space="preserve"> </w:t>
            </w:r>
            <w:r>
              <w:t>ou</w:t>
            </w:r>
            <w:r>
              <w:rPr>
                <w:spacing w:val="2"/>
              </w:rPr>
              <w:t xml:space="preserve"> </w:t>
            </w:r>
            <w:r>
              <w:t>depósito</w:t>
            </w:r>
            <w:r>
              <w:rPr>
                <w:spacing w:val="3"/>
              </w:rPr>
              <w:t xml:space="preserve"> </w:t>
            </w:r>
            <w:r>
              <w:t>judicial</w:t>
            </w:r>
            <w:r>
              <w:rPr>
                <w:spacing w:val="4"/>
              </w:rPr>
              <w:t xml:space="preserve"> </w:t>
            </w:r>
            <w:r>
              <w:t>da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indenização</w:t>
            </w:r>
          </w:p>
        </w:tc>
      </w:tr>
    </w:tbl>
    <w:p w14:paraId="05853A25" w14:textId="77777777" w:rsidR="0067794F" w:rsidRDefault="0067794F">
      <w:pPr>
        <w:pStyle w:val="TableParagraph"/>
        <w:spacing w:line="276" w:lineRule="auto"/>
        <w:jc w:val="both"/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631457A9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7A8586F2" w14:textId="77777777">
        <w:trPr>
          <w:trHeight w:val="12821"/>
        </w:trPr>
        <w:tc>
          <w:tcPr>
            <w:tcW w:w="2258" w:type="dxa"/>
          </w:tcPr>
          <w:p w14:paraId="1E73CD68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5B9BCE8B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27" w:type="dxa"/>
          </w:tcPr>
          <w:p w14:paraId="034F9A71" w14:textId="77777777" w:rsidR="0067794F" w:rsidRDefault="00000000">
            <w:pPr>
              <w:pStyle w:val="TableParagraph"/>
              <w:spacing w:before="101" w:line="276" w:lineRule="auto"/>
              <w:ind w:right="76"/>
              <w:jc w:val="both"/>
            </w:pPr>
            <w:r>
              <w:t>à COPASA e com a emissão do Termo de Transferência do Sistema, e não de forma dissociada, na assinatura do Contrato.</w:t>
            </w:r>
          </w:p>
          <w:p w14:paraId="1FE4A2C4" w14:textId="77777777" w:rsidR="0067794F" w:rsidRDefault="00000000">
            <w:pPr>
              <w:pStyle w:val="TableParagraph"/>
              <w:spacing w:before="99" w:line="276" w:lineRule="auto"/>
              <w:ind w:right="73"/>
              <w:jc w:val="both"/>
            </w:pPr>
            <w:r>
              <w:t xml:space="preserve">Tal interpretação preserva a racionalidade econômica do Anexo VII, que impede o levantamento dos recursos pelo Município antes da transferência do sistema, e evita a imobilização prematura de capital privado em cenário no qual ainda não estariam implementadas as condições necessárias à assunção dos serviços pela futura </w:t>
            </w:r>
            <w:r>
              <w:rPr>
                <w:spacing w:val="-2"/>
              </w:rPr>
              <w:t>Concessionária.</w:t>
            </w:r>
          </w:p>
          <w:p w14:paraId="2144F826" w14:textId="77777777" w:rsidR="0067794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645"/>
              </w:tabs>
              <w:spacing w:before="101" w:line="276" w:lineRule="auto"/>
              <w:ind w:right="74" w:firstLine="0"/>
              <w:jc w:val="both"/>
            </w:pPr>
            <w:r>
              <w:t>Eventual diferença entre o valor indenizatório previsto no Edital e o valor necessário ao pagamento ou depósito judicial para viabilizar a transferência do sistema deverá ser custeada com recursos da própria Outorga Fixa já depositada pela adjudicatária, conforme</w:t>
            </w:r>
            <w:r>
              <w:rPr>
                <w:spacing w:val="-6"/>
              </w:rPr>
              <w:t xml:space="preserve"> </w:t>
            </w:r>
            <w:r>
              <w:t>autorizado</w:t>
            </w:r>
            <w:r>
              <w:rPr>
                <w:spacing w:val="-4"/>
              </w:rPr>
              <w:t xml:space="preserve"> </w:t>
            </w:r>
            <w:r>
              <w:t>pelo</w:t>
            </w:r>
            <w:r>
              <w:rPr>
                <w:spacing w:val="-4"/>
              </w:rPr>
              <w:t xml:space="preserve"> </w:t>
            </w:r>
            <w:r>
              <w:t>art.</w:t>
            </w:r>
            <w:r>
              <w:rPr>
                <w:spacing w:val="-5"/>
              </w:rPr>
              <w:t xml:space="preserve"> </w:t>
            </w:r>
            <w:r>
              <w:t>42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NR</w:t>
            </w:r>
            <w:r>
              <w:rPr>
                <w:spacing w:val="-7"/>
              </w:rPr>
              <w:t xml:space="preserve"> </w:t>
            </w:r>
            <w:r>
              <w:t>ANA</w:t>
            </w:r>
            <w:r>
              <w:rPr>
                <w:spacing w:val="-4"/>
              </w:rPr>
              <w:t xml:space="preserve"> </w:t>
            </w:r>
            <w:r>
              <w:t>nº 03/2023, sem necessidade de aporte adicional pela futura Concessionária.</w:t>
            </w:r>
          </w:p>
          <w:p w14:paraId="6DF08419" w14:textId="77777777" w:rsidR="0067794F" w:rsidRDefault="00000000">
            <w:pPr>
              <w:pStyle w:val="TableParagraph"/>
              <w:spacing w:before="99" w:line="276" w:lineRule="auto"/>
              <w:ind w:right="73"/>
              <w:jc w:val="both"/>
            </w:pPr>
            <w:r>
              <w:t>Tal mecanismo poderia ocorrer mediante retenção,</w:t>
            </w:r>
            <w:r>
              <w:rPr>
                <w:spacing w:val="-14"/>
              </w:rPr>
              <w:t xml:space="preserve"> </w:t>
            </w:r>
            <w:r>
              <w:t>segregação,</w:t>
            </w:r>
            <w:r>
              <w:rPr>
                <w:spacing w:val="-14"/>
              </w:rPr>
              <w:t xml:space="preserve"> </w:t>
            </w:r>
            <w:r>
              <w:t>vinculação</w:t>
            </w:r>
            <w:r>
              <w:rPr>
                <w:spacing w:val="-13"/>
              </w:rPr>
              <w:t xml:space="preserve"> </w:t>
            </w:r>
            <w:r>
              <w:t>específica</w:t>
            </w:r>
            <w:r>
              <w:rPr>
                <w:spacing w:val="-15"/>
              </w:rPr>
              <w:t xml:space="preserve"> </w:t>
            </w:r>
            <w:r>
              <w:t>ou depósito</w:t>
            </w:r>
            <w:r>
              <w:rPr>
                <w:spacing w:val="-16"/>
              </w:rPr>
              <w:t xml:space="preserve"> </w:t>
            </w:r>
            <w:r>
              <w:t>judicial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parcela</w:t>
            </w:r>
            <w:r>
              <w:rPr>
                <w:spacing w:val="-16"/>
              </w:rPr>
              <w:t xml:space="preserve"> </w:t>
            </w:r>
            <w:r>
              <w:t>da</w:t>
            </w:r>
            <w:r>
              <w:rPr>
                <w:spacing w:val="-15"/>
              </w:rPr>
              <w:t xml:space="preserve"> </w:t>
            </w:r>
            <w:r>
              <w:t>Outorga</w:t>
            </w:r>
            <w:r>
              <w:rPr>
                <w:spacing w:val="-15"/>
              </w:rPr>
              <w:t xml:space="preserve"> </w:t>
            </w:r>
            <w:r>
              <w:t>Fixa,</w:t>
            </w:r>
            <w:r>
              <w:rPr>
                <w:spacing w:val="-15"/>
              </w:rPr>
              <w:t xml:space="preserve"> </w:t>
            </w:r>
            <w:r>
              <w:t>até o limite do valor indenizatório judicialmente controvertido,</w:t>
            </w:r>
            <w:r>
              <w:rPr>
                <w:spacing w:val="-16"/>
              </w:rPr>
              <w:t xml:space="preserve"> </w:t>
            </w:r>
            <w:r>
              <w:t>preservando-se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>neutralidade</w:t>
            </w:r>
            <w:r>
              <w:rPr>
                <w:spacing w:val="-16"/>
              </w:rPr>
              <w:t xml:space="preserve"> </w:t>
            </w:r>
            <w:r>
              <w:t xml:space="preserve">de caixa da futura Concessionária e evitando que a controvérsia sobre o quantum devido à COPASA impeça ou retarde a transferência do </w:t>
            </w:r>
            <w:r>
              <w:rPr>
                <w:spacing w:val="-2"/>
              </w:rPr>
              <w:t>sistema.</w:t>
            </w:r>
          </w:p>
          <w:p w14:paraId="3F08990F" w14:textId="77777777" w:rsidR="0067794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101"/>
              <w:ind w:left="477" w:hanging="377"/>
              <w:jc w:val="both"/>
            </w:pPr>
            <w:r>
              <w:t>Levando</w:t>
            </w:r>
            <w:r>
              <w:rPr>
                <w:spacing w:val="21"/>
              </w:rPr>
              <w:t xml:space="preserve"> </w:t>
            </w:r>
            <w:r>
              <w:t>em</w:t>
            </w:r>
            <w:r>
              <w:rPr>
                <w:spacing w:val="23"/>
              </w:rPr>
              <w:t xml:space="preserve"> </w:t>
            </w:r>
            <w:r>
              <w:t>consideração</w:t>
            </w:r>
            <w:r>
              <w:rPr>
                <w:spacing w:val="23"/>
              </w:rPr>
              <w:t xml:space="preserve"> </w:t>
            </w:r>
            <w:r>
              <w:t>que</w:t>
            </w:r>
            <w:r>
              <w:rPr>
                <w:spacing w:val="23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Cláusula</w:t>
            </w:r>
          </w:p>
          <w:p w14:paraId="47E4B688" w14:textId="77777777" w:rsidR="0067794F" w:rsidRDefault="00000000">
            <w:pPr>
              <w:pStyle w:val="TableParagraph"/>
              <w:spacing w:before="37" w:line="276" w:lineRule="auto"/>
              <w:ind w:right="74"/>
              <w:jc w:val="both"/>
            </w:pPr>
            <w:r>
              <w:t>8.7.1.3 do Contrato garante à futura Concessionária o direito ao reequilíbrio econômico-financeiro caso o valor final da indenização à COPASA seja superior ao estimado</w:t>
            </w:r>
            <w:r>
              <w:rPr>
                <w:spacing w:val="15"/>
              </w:rPr>
              <w:t xml:space="preserve"> </w:t>
            </w:r>
            <w:r>
              <w:t>no</w:t>
            </w:r>
            <w:r>
              <w:rPr>
                <w:spacing w:val="13"/>
              </w:rPr>
              <w:t xml:space="preserve"> </w:t>
            </w:r>
            <w:r>
              <w:t>Edital;</w:t>
            </w:r>
            <w:r>
              <w:rPr>
                <w:spacing w:val="18"/>
              </w:rPr>
              <w:t xml:space="preserve"> </w:t>
            </w:r>
            <w:r>
              <w:t>bem</w:t>
            </w:r>
            <w:r>
              <w:rPr>
                <w:spacing w:val="14"/>
              </w:rPr>
              <w:t xml:space="preserve"> </w:t>
            </w:r>
            <w:r>
              <w:t>como</w:t>
            </w:r>
            <w:r>
              <w:rPr>
                <w:spacing w:val="17"/>
              </w:rPr>
              <w:t xml:space="preserve"> </w:t>
            </w:r>
            <w:r>
              <w:t>que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Cláusula</w:t>
            </w:r>
          </w:p>
          <w:p w14:paraId="2C3B5055" w14:textId="77777777" w:rsidR="0067794F" w:rsidRDefault="00000000">
            <w:pPr>
              <w:pStyle w:val="TableParagraph"/>
              <w:spacing w:before="1" w:line="276" w:lineRule="auto"/>
              <w:ind w:right="73"/>
              <w:jc w:val="both"/>
            </w:pPr>
            <w:r>
              <w:t>34.8 da Minuta de Contrato confere ao Concedente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discricionariedade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9"/>
              </w:rPr>
              <w:t xml:space="preserve"> </w:t>
            </w:r>
            <w:r>
              <w:t>escolha</w:t>
            </w:r>
            <w:r>
              <w:rPr>
                <w:spacing w:val="-9"/>
              </w:rPr>
              <w:t xml:space="preserve"> </w:t>
            </w:r>
            <w:r>
              <w:t>do mecanismo de recomposição, especificamente para este</w:t>
            </w:r>
            <w:r>
              <w:rPr>
                <w:spacing w:val="-1"/>
              </w:rPr>
              <w:t xml:space="preserve"> </w:t>
            </w:r>
            <w:r>
              <w:t>risco de</w:t>
            </w:r>
            <w:r>
              <w:rPr>
                <w:spacing w:val="-2"/>
              </w:rPr>
              <w:t xml:space="preserve"> </w:t>
            </w:r>
            <w:r>
              <w:t>transição, o reequilíbrio será implementado, necessariamente, por encontro de</w:t>
            </w:r>
            <w:r>
              <w:rPr>
                <w:spacing w:val="14"/>
              </w:rPr>
              <w:t xml:space="preserve"> </w:t>
            </w:r>
            <w:r>
              <w:t>contas,</w:t>
            </w:r>
            <w:r>
              <w:rPr>
                <w:spacing w:val="14"/>
              </w:rPr>
              <w:t xml:space="preserve"> </w:t>
            </w:r>
            <w:r>
              <w:t>mediante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compensação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definitiva</w:t>
            </w:r>
          </w:p>
        </w:tc>
      </w:tr>
    </w:tbl>
    <w:p w14:paraId="6F96E959" w14:textId="77777777" w:rsidR="0067794F" w:rsidRDefault="0067794F">
      <w:pPr>
        <w:pStyle w:val="TableParagraph"/>
        <w:spacing w:line="276" w:lineRule="auto"/>
        <w:jc w:val="both"/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0B82E9DB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3ED09849" w14:textId="77777777">
        <w:trPr>
          <w:trHeight w:val="1660"/>
        </w:trPr>
        <w:tc>
          <w:tcPr>
            <w:tcW w:w="2258" w:type="dxa"/>
          </w:tcPr>
          <w:p w14:paraId="3852270A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42B0721D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27" w:type="dxa"/>
          </w:tcPr>
          <w:p w14:paraId="0616A751" w14:textId="77777777" w:rsidR="0067794F" w:rsidRDefault="00000000">
            <w:pPr>
              <w:pStyle w:val="TableParagraph"/>
              <w:spacing w:before="101" w:line="278" w:lineRule="auto"/>
            </w:pPr>
            <w:r>
              <w:t>(abatimento)</w:t>
            </w:r>
            <w:r>
              <w:rPr>
                <w:spacing w:val="-2"/>
              </w:rPr>
              <w:t xml:space="preserve"> </w:t>
            </w:r>
            <w:r>
              <w:t>sobre o</w:t>
            </w:r>
            <w:r>
              <w:rPr>
                <w:spacing w:val="-3"/>
              </w:rPr>
              <w:t xml:space="preserve"> </w:t>
            </w:r>
            <w:r>
              <w:t>montante</w:t>
            </w:r>
            <w:r>
              <w:rPr>
                <w:spacing w:val="-3"/>
              </w:rPr>
              <w:t xml:space="preserve"> </w:t>
            </w:r>
            <w:r>
              <w:t>total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outorga fixa devida ao Município.</w:t>
            </w:r>
          </w:p>
          <w:p w14:paraId="2E1D8DAB" w14:textId="77777777" w:rsidR="0067794F" w:rsidRDefault="00000000">
            <w:pPr>
              <w:pStyle w:val="TableParagraph"/>
              <w:spacing w:before="97"/>
            </w:pPr>
            <w:r>
              <w:t>Estão</w:t>
            </w:r>
            <w:r>
              <w:rPr>
                <w:spacing w:val="-4"/>
              </w:rPr>
              <w:t xml:space="preserve"> </w:t>
            </w:r>
            <w:r>
              <w:t>corretos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entendimentos?</w:t>
            </w:r>
          </w:p>
        </w:tc>
      </w:tr>
      <w:tr w:rsidR="0067794F" w14:paraId="15B16D8D" w14:textId="77777777">
        <w:trPr>
          <w:trHeight w:val="11559"/>
        </w:trPr>
        <w:tc>
          <w:tcPr>
            <w:tcW w:w="2258" w:type="dxa"/>
          </w:tcPr>
          <w:p w14:paraId="636F0714" w14:textId="77777777" w:rsidR="0067794F" w:rsidRDefault="00000000">
            <w:pPr>
              <w:pStyle w:val="TableParagraph"/>
              <w:spacing w:before="100"/>
              <w:ind w:left="20" w:right="216"/>
              <w:jc w:val="center"/>
            </w:pPr>
            <w:r>
              <w:rPr>
                <w:spacing w:val="-5"/>
              </w:rPr>
              <w:t>07</w:t>
            </w:r>
          </w:p>
        </w:tc>
        <w:tc>
          <w:tcPr>
            <w:tcW w:w="2410" w:type="dxa"/>
          </w:tcPr>
          <w:p w14:paraId="356F6CF2" w14:textId="77777777" w:rsidR="0067794F" w:rsidRDefault="00000000">
            <w:pPr>
              <w:pStyle w:val="TableParagraph"/>
              <w:spacing w:before="100"/>
              <w:ind w:left="307" w:right="182"/>
              <w:jc w:val="center"/>
            </w:pPr>
            <w:r>
              <w:t>Itens</w:t>
            </w:r>
            <w:r>
              <w:rPr>
                <w:spacing w:val="-9"/>
              </w:rPr>
              <w:t xml:space="preserve"> </w:t>
            </w:r>
            <w:r>
              <w:t>21.11.2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e</w:t>
            </w:r>
          </w:p>
          <w:p w14:paraId="0EB36239" w14:textId="77777777" w:rsidR="0067794F" w:rsidRDefault="00000000">
            <w:pPr>
              <w:pStyle w:val="TableParagraph"/>
              <w:spacing w:before="110"/>
              <w:ind w:left="124"/>
              <w:jc w:val="center"/>
            </w:pPr>
            <w:r>
              <w:t>21.11.2.1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Edital</w:t>
            </w:r>
          </w:p>
          <w:p w14:paraId="12CBE42D" w14:textId="77777777" w:rsidR="0067794F" w:rsidRDefault="00000000">
            <w:pPr>
              <w:pStyle w:val="TableParagraph"/>
              <w:spacing w:before="109" w:line="345" w:lineRule="auto"/>
              <w:ind w:left="559" w:right="431"/>
              <w:jc w:val="center"/>
            </w:pPr>
            <w:r>
              <w:t>–</w:t>
            </w:r>
            <w:r>
              <w:rPr>
                <w:spacing w:val="-16"/>
              </w:rPr>
              <w:t xml:space="preserve"> </w:t>
            </w:r>
            <w:r>
              <w:t xml:space="preserve">Qualificação </w:t>
            </w:r>
            <w:r>
              <w:rPr>
                <w:spacing w:val="-2"/>
              </w:rPr>
              <w:t>Técnico- Operaciona</w:t>
            </w:r>
          </w:p>
        </w:tc>
        <w:tc>
          <w:tcPr>
            <w:tcW w:w="4827" w:type="dxa"/>
          </w:tcPr>
          <w:p w14:paraId="32FD400E" w14:textId="77777777" w:rsidR="0067794F" w:rsidRDefault="00000000">
            <w:pPr>
              <w:pStyle w:val="TableParagraph"/>
              <w:tabs>
                <w:tab w:val="left" w:pos="1701"/>
                <w:tab w:val="left" w:pos="4485"/>
              </w:tabs>
              <w:spacing w:before="100" w:line="276" w:lineRule="auto"/>
              <w:ind w:right="73"/>
              <w:jc w:val="both"/>
            </w:pPr>
            <w:r>
              <w:t>Considerando que o item 21.11.2 do Edital exige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comprovação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PROPONENTE tenha se responsabilizado pela realização de investimentos, na modalidade Project Finance ou Corporate Finance, em projetos de infraestrutura de saneamento, com “retorno de longo</w:t>
            </w:r>
            <w:r>
              <w:rPr>
                <w:spacing w:val="-16"/>
              </w:rPr>
              <w:t xml:space="preserve"> </w:t>
            </w:r>
            <w:r>
              <w:t>prazo</w:t>
            </w:r>
            <w:r>
              <w:rPr>
                <w:spacing w:val="-15"/>
              </w:rPr>
              <w:t xml:space="preserve"> </w:t>
            </w:r>
            <w:r>
              <w:t>(assim</w:t>
            </w:r>
            <w:r>
              <w:rPr>
                <w:spacing w:val="-15"/>
              </w:rPr>
              <w:t xml:space="preserve"> </w:t>
            </w:r>
            <w:r>
              <w:t>considerado</w:t>
            </w:r>
            <w:r>
              <w:rPr>
                <w:spacing w:val="-16"/>
              </w:rPr>
              <w:t xml:space="preserve"> </w:t>
            </w:r>
            <w:r>
              <w:t>o</w:t>
            </w:r>
            <w:r>
              <w:rPr>
                <w:spacing w:val="-15"/>
              </w:rPr>
              <w:t xml:space="preserve"> </w:t>
            </w:r>
            <w:r>
              <w:t>prazo</w:t>
            </w:r>
            <w:r>
              <w:rPr>
                <w:spacing w:val="-15"/>
              </w:rPr>
              <w:t xml:space="preserve"> </w:t>
            </w:r>
            <w:r>
              <w:t>mínimo de</w:t>
            </w:r>
            <w:r>
              <w:rPr>
                <w:spacing w:val="-16"/>
              </w:rPr>
              <w:t xml:space="preserve"> </w:t>
            </w:r>
            <w:r>
              <w:t>05</w:t>
            </w:r>
            <w:r>
              <w:rPr>
                <w:spacing w:val="-15"/>
              </w:rPr>
              <w:t xml:space="preserve"> </w:t>
            </w:r>
            <w:r>
              <w:t>anos)”,</w:t>
            </w:r>
            <w:r>
              <w:rPr>
                <w:spacing w:val="-15"/>
              </w:rPr>
              <w:t xml:space="preserve"> </w:t>
            </w:r>
            <w:r>
              <w:t>compreende-se</w:t>
            </w:r>
            <w:r>
              <w:rPr>
                <w:spacing w:val="-14"/>
              </w:rPr>
              <w:t xml:space="preserve"> </w:t>
            </w:r>
            <w:r>
              <w:t>que</w:t>
            </w:r>
            <w:r>
              <w:rPr>
                <w:spacing w:val="-16"/>
              </w:rPr>
              <w:t xml:space="preserve"> </w:t>
            </w:r>
            <w:r>
              <w:t>tal</w:t>
            </w:r>
            <w:r>
              <w:rPr>
                <w:spacing w:val="-15"/>
              </w:rPr>
              <w:t xml:space="preserve"> </w:t>
            </w:r>
            <w:r>
              <w:t xml:space="preserve">expressão deve ser interpretada como referência ao </w:t>
            </w:r>
            <w:r>
              <w:rPr>
                <w:spacing w:val="-2"/>
              </w:rPr>
              <w:t>horizonte</w:t>
            </w:r>
            <w:r>
              <w:tab/>
            </w:r>
            <w:r>
              <w:rPr>
                <w:spacing w:val="-2"/>
              </w:rPr>
              <w:t>econômico-financeiro</w:t>
            </w:r>
            <w:r>
              <w:tab/>
            </w:r>
            <w:r>
              <w:rPr>
                <w:spacing w:val="-6"/>
              </w:rPr>
              <w:t xml:space="preserve">do </w:t>
            </w:r>
            <w:r>
              <w:t>investimento, isto é, ao período projetado de comprometimento</w:t>
            </w:r>
            <w:r>
              <w:rPr>
                <w:spacing w:val="-12"/>
              </w:rPr>
              <w:t xml:space="preserve"> </w:t>
            </w:r>
            <w:r>
              <w:t>do</w:t>
            </w:r>
            <w:r>
              <w:rPr>
                <w:spacing w:val="-12"/>
              </w:rPr>
              <w:t xml:space="preserve"> </w:t>
            </w:r>
            <w:r>
              <w:t>capital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maturação</w:t>
            </w:r>
            <w:r>
              <w:rPr>
                <w:spacing w:val="-12"/>
              </w:rPr>
              <w:t xml:space="preserve"> </w:t>
            </w:r>
            <w:r>
              <w:t>do respectivo retorno, e não como exigência de que já tenham transcorrido, na data da comprovação, ao menos 05 anos desde a realização do aporte.</w:t>
            </w:r>
          </w:p>
          <w:p w14:paraId="388F2B48" w14:textId="77777777" w:rsidR="0067794F" w:rsidRDefault="00000000">
            <w:pPr>
              <w:pStyle w:val="TableParagraph"/>
              <w:tabs>
                <w:tab w:val="left" w:pos="1842"/>
                <w:tab w:val="left" w:pos="3666"/>
              </w:tabs>
              <w:spacing w:before="100" w:line="276" w:lineRule="auto"/>
              <w:ind w:right="73"/>
              <w:jc w:val="both"/>
            </w:pPr>
            <w:r>
              <w:t xml:space="preserve">Nesse sentido, o aporte de capital próprio realizado por acionista em Sociedade de </w:t>
            </w:r>
            <w:r>
              <w:rPr>
                <w:spacing w:val="-2"/>
              </w:rPr>
              <w:t>Propósito</w:t>
            </w:r>
            <w:r>
              <w:tab/>
            </w:r>
            <w:r>
              <w:rPr>
                <w:spacing w:val="-2"/>
              </w:rPr>
              <w:t>Específico</w:t>
            </w:r>
            <w:r>
              <w:tab/>
            </w:r>
            <w:r>
              <w:rPr>
                <w:spacing w:val="-2"/>
              </w:rPr>
              <w:t xml:space="preserve">constituída </w:t>
            </w:r>
            <w:r>
              <w:t>exclusivamente</w:t>
            </w:r>
            <w:r>
              <w:rPr>
                <w:spacing w:val="-14"/>
              </w:rPr>
              <w:t xml:space="preserve"> </w:t>
            </w:r>
            <w:r>
              <w:t>para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execução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contrato</w:t>
            </w:r>
            <w:r>
              <w:rPr>
                <w:spacing w:val="-12"/>
              </w:rPr>
              <w:t xml:space="preserve"> </w:t>
            </w:r>
            <w:r>
              <w:t>de concessão pública dos serviços de abastecimento de água e esgotamento sanitário, cujo prazo contratual é de 35 anos, atende</w:t>
            </w:r>
            <w:r>
              <w:rPr>
                <w:spacing w:val="-9"/>
              </w:rPr>
              <w:t xml:space="preserve"> </w:t>
            </w:r>
            <w:r>
              <w:t>ao</w:t>
            </w:r>
            <w:r>
              <w:rPr>
                <w:spacing w:val="-11"/>
              </w:rPr>
              <w:t xml:space="preserve"> </w:t>
            </w:r>
            <w:r>
              <w:t>requisito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“retorno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longo</w:t>
            </w:r>
            <w:r>
              <w:rPr>
                <w:spacing w:val="-9"/>
              </w:rPr>
              <w:t xml:space="preserve"> </w:t>
            </w:r>
            <w:r>
              <w:t>prazo”, uma vez que o horizonte econômico-financeiro do investimento está vinculado ao prazo da concessão e supera substancialmente o prazo mínimo de 05 anos previsto no Edital.</w:t>
            </w:r>
          </w:p>
          <w:p w14:paraId="677C4CF5" w14:textId="77777777" w:rsidR="0067794F" w:rsidRDefault="00000000">
            <w:pPr>
              <w:pStyle w:val="TableParagraph"/>
              <w:spacing w:before="102" w:line="276" w:lineRule="auto"/>
              <w:ind w:right="74"/>
              <w:jc w:val="both"/>
            </w:pPr>
            <w:r>
              <w:t>Em outras palavras, é dizer que o requisito temporal previsto no Edital estaria satisfeito pela natureza e pelo prazo de maturação do investimento assumido, e não condicionado ao decurso</w:t>
            </w:r>
            <w:r>
              <w:rPr>
                <w:spacing w:val="-13"/>
              </w:rPr>
              <w:t xml:space="preserve"> </w:t>
            </w:r>
            <w:r>
              <w:t>efetivo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05</w:t>
            </w:r>
            <w:r>
              <w:rPr>
                <w:spacing w:val="-15"/>
              </w:rPr>
              <w:t xml:space="preserve"> </w:t>
            </w:r>
            <w:r>
              <w:t>anos</w:t>
            </w:r>
            <w:r>
              <w:rPr>
                <w:spacing w:val="-13"/>
              </w:rPr>
              <w:t xml:space="preserve"> </w:t>
            </w:r>
            <w:r>
              <w:t>contados</w:t>
            </w:r>
            <w:r>
              <w:rPr>
                <w:spacing w:val="-13"/>
              </w:rPr>
              <w:t xml:space="preserve"> </w:t>
            </w:r>
            <w:r>
              <w:t>da</w:t>
            </w:r>
            <w:r>
              <w:rPr>
                <w:spacing w:val="-15"/>
              </w:rPr>
              <w:t xml:space="preserve"> </w:t>
            </w:r>
            <w:r>
              <w:t>data</w:t>
            </w:r>
            <w:r>
              <w:rPr>
                <w:spacing w:val="-13"/>
              </w:rPr>
              <w:t xml:space="preserve"> </w:t>
            </w:r>
            <w:r>
              <w:t xml:space="preserve">do </w:t>
            </w:r>
            <w:r>
              <w:rPr>
                <w:spacing w:val="-2"/>
              </w:rPr>
              <w:t>aporte.</w:t>
            </w:r>
          </w:p>
          <w:p w14:paraId="26A1511C" w14:textId="77777777" w:rsidR="0067794F" w:rsidRDefault="00000000">
            <w:pPr>
              <w:pStyle w:val="TableParagraph"/>
              <w:spacing w:before="101" w:line="276" w:lineRule="auto"/>
              <w:ind w:right="73"/>
              <w:jc w:val="both"/>
            </w:pPr>
            <w:r>
              <w:t>Compreende-se, ainda, que a comprovação desse requisito poderia se dar pela apresentação de: (i) ata de constituição e contrato</w:t>
            </w:r>
            <w:r>
              <w:rPr>
                <w:spacing w:val="-5"/>
              </w:rPr>
              <w:t xml:space="preserve"> </w:t>
            </w:r>
            <w:r>
              <w:t>social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SPE,</w:t>
            </w:r>
            <w:r>
              <w:rPr>
                <w:spacing w:val="-5"/>
              </w:rPr>
              <w:t xml:space="preserve"> </w:t>
            </w:r>
            <w:r>
              <w:t>demonstrando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aporte</w:t>
            </w:r>
          </w:p>
        </w:tc>
      </w:tr>
    </w:tbl>
    <w:p w14:paraId="52C46D8C" w14:textId="77777777" w:rsidR="0067794F" w:rsidRDefault="0067794F">
      <w:pPr>
        <w:pStyle w:val="TableParagraph"/>
        <w:spacing w:line="276" w:lineRule="auto"/>
        <w:jc w:val="both"/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54AB7DF5" w14:textId="77777777" w:rsidR="0067794F" w:rsidRDefault="0067794F">
      <w:pPr>
        <w:pStyle w:val="Corpodetexto"/>
        <w:spacing w:before="2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410"/>
        <w:gridCol w:w="4827"/>
      </w:tblGrid>
      <w:tr w:rsidR="0067794F" w14:paraId="49639421" w14:textId="77777777">
        <w:trPr>
          <w:trHeight w:val="3409"/>
        </w:trPr>
        <w:tc>
          <w:tcPr>
            <w:tcW w:w="2258" w:type="dxa"/>
          </w:tcPr>
          <w:p w14:paraId="520C01A2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31A797B1" w14:textId="77777777" w:rsidR="0067794F" w:rsidRDefault="006779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27" w:type="dxa"/>
          </w:tcPr>
          <w:p w14:paraId="0573341A" w14:textId="77777777" w:rsidR="0067794F" w:rsidRDefault="00000000">
            <w:pPr>
              <w:pStyle w:val="TableParagraph"/>
              <w:spacing w:before="101" w:line="276" w:lineRule="auto"/>
              <w:ind w:right="73"/>
              <w:jc w:val="both"/>
            </w:pPr>
            <w:r>
              <w:t>de</w:t>
            </w:r>
            <w:r>
              <w:rPr>
                <w:spacing w:val="-5"/>
              </w:rPr>
              <w:t xml:space="preserve"> </w:t>
            </w:r>
            <w:r>
              <w:t>capital</w:t>
            </w:r>
            <w:r>
              <w:rPr>
                <w:spacing w:val="-6"/>
              </w:rPr>
              <w:t xml:space="preserve"> </w:t>
            </w:r>
            <w:r>
              <w:t>próprio</w:t>
            </w:r>
            <w:r>
              <w:rPr>
                <w:spacing w:val="-5"/>
              </w:rPr>
              <w:t xml:space="preserve"> </w:t>
            </w:r>
            <w:r>
              <w:t>pelo</w:t>
            </w:r>
            <w:r>
              <w:rPr>
                <w:spacing w:val="-5"/>
              </w:rPr>
              <w:t xml:space="preserve"> </w:t>
            </w:r>
            <w:r>
              <w:t>acionista;</w:t>
            </w:r>
            <w:r>
              <w:rPr>
                <w:spacing w:val="-4"/>
              </w:rPr>
              <w:t xml:space="preserve"> </w:t>
            </w:r>
            <w:r>
              <w:t>(ii)</w:t>
            </w:r>
            <w:r>
              <w:rPr>
                <w:spacing w:val="-6"/>
              </w:rPr>
              <w:t xml:space="preserve"> </w:t>
            </w:r>
            <w:r>
              <w:t>contrato</w:t>
            </w:r>
            <w:r>
              <w:rPr>
                <w:spacing w:val="-4"/>
              </w:rPr>
              <w:t xml:space="preserve"> </w:t>
            </w:r>
            <w:r>
              <w:t>de concessão, demonstrando o prazo de 35 anos e a natureza do empreendimento em infraestrutura de saneamento básico; e (iii) documentos contábeis ou financeiros que comprovem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10"/>
              </w:rPr>
              <w:t xml:space="preserve"> </w:t>
            </w:r>
            <w:r>
              <w:t>montante</w:t>
            </w:r>
            <w:r>
              <w:rPr>
                <w:spacing w:val="-8"/>
              </w:rPr>
              <w:t xml:space="preserve"> </w:t>
            </w:r>
            <w:r>
              <w:t>investido,</w:t>
            </w:r>
            <w:r>
              <w:rPr>
                <w:spacing w:val="-6"/>
              </w:rPr>
              <w:t xml:space="preserve"> </w:t>
            </w:r>
            <w:r>
              <w:t>devidamente atualizado</w:t>
            </w:r>
            <w:r>
              <w:rPr>
                <w:spacing w:val="24"/>
              </w:rPr>
              <w:t xml:space="preserve">  </w:t>
            </w:r>
            <w:r>
              <w:t>pelo</w:t>
            </w:r>
            <w:r>
              <w:rPr>
                <w:spacing w:val="78"/>
                <w:w w:val="150"/>
              </w:rPr>
              <w:t xml:space="preserve"> </w:t>
            </w:r>
            <w:r>
              <w:t>IPCA/IBGE,</w:t>
            </w:r>
            <w:r>
              <w:rPr>
                <w:spacing w:val="79"/>
                <w:w w:val="150"/>
              </w:rPr>
              <w:t xml:space="preserve"> </w:t>
            </w:r>
            <w:r>
              <w:t>conforme</w:t>
            </w:r>
            <w:r>
              <w:rPr>
                <w:spacing w:val="78"/>
                <w:w w:val="150"/>
              </w:rPr>
              <w:t xml:space="preserve"> </w:t>
            </w:r>
            <w:r>
              <w:rPr>
                <w:spacing w:val="-4"/>
              </w:rPr>
              <w:t>item</w:t>
            </w:r>
          </w:p>
          <w:p w14:paraId="2FA271E8" w14:textId="77777777" w:rsidR="0067794F" w:rsidRDefault="00000000">
            <w:pPr>
              <w:pStyle w:val="TableParagraph"/>
              <w:spacing w:before="1"/>
              <w:jc w:val="both"/>
            </w:pPr>
            <w:r>
              <w:t>21.11.2.1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Edital.</w:t>
            </w:r>
          </w:p>
          <w:p w14:paraId="05F8AE6C" w14:textId="77777777" w:rsidR="0067794F" w:rsidRDefault="0067794F">
            <w:pPr>
              <w:pStyle w:val="TableParagraph"/>
              <w:ind w:left="0"/>
            </w:pPr>
          </w:p>
          <w:p w14:paraId="3048103F" w14:textId="77777777" w:rsidR="0067794F" w:rsidRDefault="0067794F">
            <w:pPr>
              <w:pStyle w:val="TableParagraph"/>
              <w:spacing w:before="23"/>
              <w:ind w:left="0"/>
            </w:pPr>
          </w:p>
          <w:p w14:paraId="57A3FE67" w14:textId="77777777" w:rsidR="0067794F" w:rsidRDefault="00000000">
            <w:pPr>
              <w:pStyle w:val="TableParagraph"/>
              <w:jc w:val="both"/>
            </w:pPr>
            <w:r>
              <w:t>Estão</w:t>
            </w:r>
            <w:r>
              <w:rPr>
                <w:spacing w:val="-4"/>
              </w:rPr>
              <w:t xml:space="preserve"> </w:t>
            </w:r>
            <w:r>
              <w:t>corretos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entendimentos?</w:t>
            </w:r>
          </w:p>
        </w:tc>
      </w:tr>
    </w:tbl>
    <w:p w14:paraId="0C36803F" w14:textId="77777777" w:rsidR="0067794F" w:rsidRDefault="0067794F">
      <w:pPr>
        <w:pStyle w:val="Corpodetexto"/>
      </w:pPr>
    </w:p>
    <w:p w14:paraId="21E2A497" w14:textId="77777777" w:rsidR="0067794F" w:rsidRDefault="0067794F">
      <w:pPr>
        <w:pStyle w:val="Corpodetexto"/>
      </w:pPr>
    </w:p>
    <w:p w14:paraId="0ED0F513" w14:textId="77777777" w:rsidR="0067794F" w:rsidRDefault="0067794F">
      <w:pPr>
        <w:pStyle w:val="Corpodetexto"/>
      </w:pPr>
    </w:p>
    <w:p w14:paraId="01568092" w14:textId="77777777" w:rsidR="0067794F" w:rsidRDefault="0067794F">
      <w:pPr>
        <w:pStyle w:val="Corpodetexto"/>
        <w:spacing w:before="126"/>
      </w:pPr>
    </w:p>
    <w:p w14:paraId="6E8F0A06" w14:textId="77777777" w:rsidR="0067794F" w:rsidRDefault="00000000">
      <w:pPr>
        <w:pStyle w:val="Corpodetexto"/>
        <w:ind w:left="90" w:right="318"/>
        <w:jc w:val="center"/>
      </w:pPr>
      <w:r>
        <w:t>Belo</w:t>
      </w:r>
      <w:r>
        <w:rPr>
          <w:spacing w:val="-2"/>
        </w:rPr>
        <w:t xml:space="preserve"> </w:t>
      </w:r>
      <w:r>
        <w:t>Horizonte,</w:t>
      </w:r>
      <w:r>
        <w:rPr>
          <w:spacing w:val="-3"/>
        </w:rPr>
        <w:t xml:space="preserve"> </w:t>
      </w:r>
      <w:r>
        <w:t>29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2026.</w:t>
      </w:r>
    </w:p>
    <w:p w14:paraId="00806FBC" w14:textId="77777777" w:rsidR="0067794F" w:rsidRDefault="0067794F">
      <w:pPr>
        <w:pStyle w:val="Corpodetexto"/>
        <w:rPr>
          <w:sz w:val="20"/>
        </w:rPr>
      </w:pPr>
    </w:p>
    <w:p w14:paraId="5A4B3F5C" w14:textId="77777777" w:rsidR="0067794F" w:rsidRDefault="0067794F">
      <w:pPr>
        <w:pStyle w:val="Corpodetexto"/>
        <w:rPr>
          <w:sz w:val="20"/>
        </w:rPr>
      </w:pPr>
    </w:p>
    <w:p w14:paraId="13CA91E1" w14:textId="77777777" w:rsidR="0067794F" w:rsidRDefault="0067794F">
      <w:pPr>
        <w:pStyle w:val="Corpodetexto"/>
        <w:rPr>
          <w:sz w:val="20"/>
        </w:rPr>
      </w:pPr>
    </w:p>
    <w:p w14:paraId="5D4B216E" w14:textId="77777777" w:rsidR="0067794F" w:rsidRDefault="0067794F">
      <w:pPr>
        <w:pStyle w:val="Corpodetexto"/>
        <w:spacing w:before="213"/>
        <w:rPr>
          <w:sz w:val="20"/>
        </w:rPr>
      </w:pPr>
    </w:p>
    <w:p w14:paraId="264E57BF" w14:textId="77777777" w:rsidR="0067794F" w:rsidRDefault="0067794F">
      <w:pPr>
        <w:pStyle w:val="Corpodetexto"/>
        <w:rPr>
          <w:sz w:val="20"/>
        </w:rPr>
        <w:sectPr w:rsidR="0067794F">
          <w:pgSz w:w="12240" w:h="15840"/>
          <w:pgMar w:top="1640" w:right="720" w:bottom="280" w:left="1440" w:header="720" w:footer="720" w:gutter="0"/>
          <w:cols w:space="720"/>
        </w:sectPr>
      </w:pPr>
    </w:p>
    <w:p w14:paraId="7B08AEFC" w14:textId="77777777" w:rsidR="0067794F" w:rsidRDefault="0067794F">
      <w:pPr>
        <w:spacing w:line="252" w:lineRule="auto"/>
        <w:rPr>
          <w:rFonts w:ascii="Trebuchet MS"/>
          <w:sz w:val="21"/>
        </w:rPr>
        <w:sectPr w:rsidR="0067794F">
          <w:type w:val="continuous"/>
          <w:pgSz w:w="12240" w:h="15840"/>
          <w:pgMar w:top="1600" w:right="720" w:bottom="280" w:left="1440" w:header="720" w:footer="720" w:gutter="0"/>
          <w:cols w:num="2" w:space="720" w:equalWidth="0">
            <w:col w:w="4456" w:space="40"/>
            <w:col w:w="5584"/>
          </w:cols>
        </w:sectPr>
      </w:pPr>
    </w:p>
    <w:p w14:paraId="5766286E" w14:textId="77777777" w:rsidR="0067794F" w:rsidRDefault="0067794F">
      <w:pPr>
        <w:pStyle w:val="Corpodetexto"/>
        <w:spacing w:before="58"/>
        <w:rPr>
          <w:rFonts w:ascii="Trebuchet MS"/>
        </w:rPr>
      </w:pPr>
    </w:p>
    <w:p w14:paraId="0529EC1D" w14:textId="77777777" w:rsidR="0067794F" w:rsidRDefault="00000000">
      <w:pPr>
        <w:pStyle w:val="Ttulo1"/>
      </w:pPr>
      <w:r>
        <w:t>CIMCOP</w:t>
      </w:r>
      <w:r>
        <w:rPr>
          <w:spacing w:val="-2"/>
        </w:rPr>
        <w:t xml:space="preserve"> </w:t>
      </w:r>
      <w:r>
        <w:t>SA</w:t>
      </w:r>
      <w:r>
        <w:rPr>
          <w:spacing w:val="-2"/>
        </w:rPr>
        <w:t xml:space="preserve"> </w:t>
      </w:r>
      <w:r>
        <w:t>ENGENHARIA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CONSTRUÇÕES</w:t>
      </w:r>
    </w:p>
    <w:p w14:paraId="3453DA72" w14:textId="77777777" w:rsidR="0067794F" w:rsidRDefault="00000000">
      <w:pPr>
        <w:pStyle w:val="Corpodetexto"/>
        <w:spacing w:before="137" w:line="357" w:lineRule="auto"/>
        <w:ind w:left="3459" w:right="3687" w:hanging="4"/>
        <w:jc w:val="center"/>
      </w:pPr>
      <w:r>
        <w:t>Marco Tullio Miraglia Neto RG nº MG9097401 CPF/MF</w:t>
      </w:r>
      <w:r>
        <w:rPr>
          <w:spacing w:val="-17"/>
        </w:rPr>
        <w:t xml:space="preserve"> </w:t>
      </w:r>
      <w:r>
        <w:t>nº</w:t>
      </w:r>
      <w:r>
        <w:rPr>
          <w:spacing w:val="-17"/>
        </w:rPr>
        <w:t xml:space="preserve"> </w:t>
      </w:r>
      <w:r>
        <w:t>079.540.336-43</w:t>
      </w:r>
    </w:p>
    <w:p w14:paraId="0FF00CF3" w14:textId="77777777" w:rsidR="0067794F" w:rsidRDefault="00000000">
      <w:pPr>
        <w:pStyle w:val="Corpodetexto"/>
        <w:spacing w:line="357" w:lineRule="auto"/>
        <w:ind w:left="2530" w:right="2760"/>
        <w:jc w:val="center"/>
      </w:pPr>
      <w:r>
        <w:t>E-mail:</w:t>
      </w:r>
      <w:r>
        <w:rPr>
          <w:spacing w:val="-17"/>
        </w:rPr>
        <w:t xml:space="preserve"> </w:t>
      </w:r>
      <w:hyperlink r:id="rId6">
        <w:r>
          <w:t>marco.tullio@cimcop.com.br</w:t>
        </w:r>
      </w:hyperlink>
      <w:r>
        <w:t xml:space="preserve"> Telefone: +55 31 99255 1600</w:t>
      </w:r>
    </w:p>
    <w:sectPr w:rsidR="0067794F">
      <w:type w:val="continuous"/>
      <w:pgSz w:w="12240" w:h="15840"/>
      <w:pgMar w:top="160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7710D"/>
    <w:multiLevelType w:val="hybridMultilevel"/>
    <w:tmpl w:val="96166B86"/>
    <w:lvl w:ilvl="0" w:tplc="7C0A162E">
      <w:start w:val="2"/>
      <w:numFmt w:val="lowerRoman"/>
      <w:lvlText w:val="(%1)"/>
      <w:lvlJc w:val="left"/>
      <w:pPr>
        <w:ind w:left="100" w:hanging="54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58C04B64">
      <w:numFmt w:val="bullet"/>
      <w:lvlText w:val="•"/>
      <w:lvlJc w:val="left"/>
      <w:pPr>
        <w:ind w:left="570" w:hanging="549"/>
      </w:pPr>
      <w:rPr>
        <w:rFonts w:hint="default"/>
        <w:lang w:val="pt-PT" w:eastAsia="en-US" w:bidi="ar-SA"/>
      </w:rPr>
    </w:lvl>
    <w:lvl w:ilvl="2" w:tplc="BC1040A0">
      <w:numFmt w:val="bullet"/>
      <w:lvlText w:val="•"/>
      <w:lvlJc w:val="left"/>
      <w:pPr>
        <w:ind w:left="1041" w:hanging="549"/>
      </w:pPr>
      <w:rPr>
        <w:rFonts w:hint="default"/>
        <w:lang w:val="pt-PT" w:eastAsia="en-US" w:bidi="ar-SA"/>
      </w:rPr>
    </w:lvl>
    <w:lvl w:ilvl="3" w:tplc="AE489938">
      <w:numFmt w:val="bullet"/>
      <w:lvlText w:val="•"/>
      <w:lvlJc w:val="left"/>
      <w:pPr>
        <w:ind w:left="1512" w:hanging="549"/>
      </w:pPr>
      <w:rPr>
        <w:rFonts w:hint="default"/>
        <w:lang w:val="pt-PT" w:eastAsia="en-US" w:bidi="ar-SA"/>
      </w:rPr>
    </w:lvl>
    <w:lvl w:ilvl="4" w:tplc="8A08CF76">
      <w:numFmt w:val="bullet"/>
      <w:lvlText w:val="•"/>
      <w:lvlJc w:val="left"/>
      <w:pPr>
        <w:ind w:left="1982" w:hanging="549"/>
      </w:pPr>
      <w:rPr>
        <w:rFonts w:hint="default"/>
        <w:lang w:val="pt-PT" w:eastAsia="en-US" w:bidi="ar-SA"/>
      </w:rPr>
    </w:lvl>
    <w:lvl w:ilvl="5" w:tplc="7A569018">
      <w:numFmt w:val="bullet"/>
      <w:lvlText w:val="•"/>
      <w:lvlJc w:val="left"/>
      <w:pPr>
        <w:ind w:left="2453" w:hanging="549"/>
      </w:pPr>
      <w:rPr>
        <w:rFonts w:hint="default"/>
        <w:lang w:val="pt-PT" w:eastAsia="en-US" w:bidi="ar-SA"/>
      </w:rPr>
    </w:lvl>
    <w:lvl w:ilvl="6" w:tplc="5100C1F0">
      <w:numFmt w:val="bullet"/>
      <w:lvlText w:val="•"/>
      <w:lvlJc w:val="left"/>
      <w:pPr>
        <w:ind w:left="2924" w:hanging="549"/>
      </w:pPr>
      <w:rPr>
        <w:rFonts w:hint="default"/>
        <w:lang w:val="pt-PT" w:eastAsia="en-US" w:bidi="ar-SA"/>
      </w:rPr>
    </w:lvl>
    <w:lvl w:ilvl="7" w:tplc="BB88EB24">
      <w:numFmt w:val="bullet"/>
      <w:lvlText w:val="•"/>
      <w:lvlJc w:val="left"/>
      <w:pPr>
        <w:ind w:left="3394" w:hanging="549"/>
      </w:pPr>
      <w:rPr>
        <w:rFonts w:hint="default"/>
        <w:lang w:val="pt-PT" w:eastAsia="en-US" w:bidi="ar-SA"/>
      </w:rPr>
    </w:lvl>
    <w:lvl w:ilvl="8" w:tplc="6742DA7C">
      <w:numFmt w:val="bullet"/>
      <w:lvlText w:val="•"/>
      <w:lvlJc w:val="left"/>
      <w:pPr>
        <w:ind w:left="3865" w:hanging="549"/>
      </w:pPr>
      <w:rPr>
        <w:rFonts w:hint="default"/>
        <w:lang w:val="pt-PT" w:eastAsia="en-US" w:bidi="ar-SA"/>
      </w:rPr>
    </w:lvl>
  </w:abstractNum>
  <w:num w:numId="1" w16cid:durableId="1052119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94F"/>
    <w:rsid w:val="00311BC8"/>
    <w:rsid w:val="0067794F"/>
    <w:rsid w:val="00980695"/>
    <w:rsid w:val="00AF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3FA55"/>
  <w15:docId w15:val="{64C227EC-C54A-4E95-B1CF-77B3B6E0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90" w:right="257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co.tullio@cimcop.com.br" TargetMode="External"/><Relationship Id="rId5" Type="http://schemas.openxmlformats.org/officeDocument/2006/relationships/hyperlink" Target="http://www.gov.br/ana/pt-br/assuntos/saneamento-basico/conformidade-com-normativos-da-ana-e-decretos-governamentais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2785</Words>
  <Characters>15044</Characters>
  <Application>Microsoft Office Word</Application>
  <DocSecurity>0</DocSecurity>
  <Lines>125</Lines>
  <Paragraphs>35</Paragraphs>
  <ScaleCrop>false</ScaleCrop>
  <Company/>
  <LinksUpToDate>false</LinksUpToDate>
  <CharactersWithSpaces>17794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Tullio Miraglia Neto</dc:creator>
  <cp:lastModifiedBy>Prefeitura</cp:lastModifiedBy>
  <cp:revision>2</cp:revision>
  <dcterms:created xsi:type="dcterms:W3CDTF">2026-06-03T16:03:00Z</dcterms:created>
  <dcterms:modified xsi:type="dcterms:W3CDTF">2026-06-03T16:03:00Z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2026-06-03T00:00:00Z</vt:filetime>
  </property>
  <property fmtid="{D5CDD505-2E9C-101B-9397-08002B2CF9AE}" pid="5" name="Producer">
    <vt:lpwstr>Microsoft® Word para Microsoft 365</vt:lpwstr>
  </property>
</Properties>
</file>